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before="156" w:beforeLines="50" w:after="156" w:afterLines="50" w:line="360" w:lineRule="auto"/>
        <w:jc w:val="center"/>
        <w:rPr>
          <w:rFonts w:ascii="黑体" w:hAnsi="黑体" w:eastAsia="黑体"/>
          <w:b/>
          <w:bCs/>
          <w:sz w:val="40"/>
          <w:szCs w:val="40"/>
        </w:rPr>
      </w:pPr>
      <w:bookmarkStart w:id="0" w:name="OLE_LINK1"/>
      <w:r>
        <w:rPr>
          <w:rFonts w:hint="eastAsia" w:ascii="黑体" w:hAnsi="黑体" w:eastAsia="黑体"/>
          <w:b/>
          <w:bCs/>
          <w:sz w:val="40"/>
          <w:szCs w:val="40"/>
        </w:rPr>
        <w:t>昭陵碑志与初唐女性文学考论</w:t>
      </w:r>
    </w:p>
    <w:p>
      <w:pPr>
        <w:spacing w:before="312" w:beforeLines="100" w:after="312" w:afterLines="100" w:line="360" w:lineRule="auto"/>
        <w:jc w:val="center"/>
        <w:rPr>
          <w:rFonts w:ascii="楷体" w:hAnsi="楷体" w:eastAsia="楷体"/>
          <w:sz w:val="32"/>
          <w:szCs w:val="32"/>
        </w:rPr>
      </w:pPr>
      <w:r>
        <w:rPr>
          <w:rFonts w:hint="eastAsia" w:ascii="楷体" w:hAnsi="楷体" w:eastAsia="楷体"/>
          <w:sz w:val="32"/>
          <w:szCs w:val="32"/>
        </w:rPr>
        <w:t>徐 焕</w:t>
      </w:r>
    </w:p>
    <w:bookmarkEnd w:id="0"/>
    <w:p>
      <w:pPr>
        <w:spacing w:line="360" w:lineRule="auto"/>
        <w:ind w:left="420" w:leftChars="200" w:firstLine="482" w:firstLineChars="200"/>
        <w:rPr>
          <w:rFonts w:ascii="楷体" w:hAnsi="楷体" w:eastAsia="楷体"/>
          <w:sz w:val="24"/>
        </w:rPr>
      </w:pPr>
      <w:r>
        <w:rPr>
          <w:rFonts w:hint="eastAsia" w:ascii="宋体" w:hAnsi="宋体" w:eastAsia="宋体"/>
          <w:b/>
          <w:bCs/>
          <w:sz w:val="24"/>
        </w:rPr>
        <w:t>[摘</w:t>
      </w:r>
      <w:r>
        <w:rPr>
          <w:rFonts w:ascii="宋体" w:hAnsi="宋体" w:eastAsia="宋体"/>
          <w:b/>
          <w:bCs/>
          <w:sz w:val="24"/>
        </w:rPr>
        <w:t xml:space="preserve"> </w:t>
      </w:r>
      <w:r>
        <w:rPr>
          <w:rFonts w:hint="eastAsia" w:ascii="宋体" w:hAnsi="宋体" w:eastAsia="宋体"/>
          <w:b/>
          <w:bCs/>
          <w:sz w:val="24"/>
        </w:rPr>
        <w:t>要]</w:t>
      </w:r>
      <w:r>
        <w:rPr>
          <w:rFonts w:ascii="宋体" w:hAnsi="宋体" w:eastAsia="宋体"/>
          <w:b/>
          <w:bCs/>
          <w:sz w:val="24"/>
        </w:rPr>
        <w:t xml:space="preserve"> </w:t>
      </w:r>
      <w:r>
        <w:rPr>
          <w:rFonts w:hint="eastAsia" w:ascii="楷体" w:hAnsi="楷体" w:eastAsia="楷体"/>
          <w:sz w:val="24"/>
        </w:rPr>
        <w:t>昭陵女性碑志从文本格套、史事记录、作品遗文等方面</w:t>
      </w:r>
      <w:r>
        <w:rPr>
          <w:rFonts w:ascii="楷体" w:hAnsi="楷体" w:eastAsia="楷体"/>
          <w:sz w:val="24"/>
        </w:rPr>
        <w:t>揭示</w:t>
      </w:r>
      <w:r>
        <w:rPr>
          <w:rFonts w:hint="eastAsia" w:ascii="楷体" w:hAnsi="楷体" w:eastAsia="楷体"/>
          <w:sz w:val="24"/>
        </w:rPr>
        <w:t>了</w:t>
      </w:r>
      <w:r>
        <w:rPr>
          <w:rFonts w:ascii="楷体" w:hAnsi="楷体" w:eastAsia="楷体"/>
          <w:sz w:val="24"/>
        </w:rPr>
        <w:t>初唐女性文学的多维面相与丰富内涵</w:t>
      </w:r>
      <w:r>
        <w:rPr>
          <w:rFonts w:hint="eastAsia" w:ascii="楷体" w:hAnsi="楷体" w:eastAsia="楷体"/>
          <w:sz w:val="24"/>
        </w:rPr>
        <w:t>：首先，对女性文学的记录颂扬是碑志性别书写的格套化环节，这是女性创作实际与男性书写视角共同作用的产物；其次，碑志提供了初唐宫廷女性文学养</w:t>
      </w:r>
      <w:bookmarkStart w:id="4" w:name="_GoBack"/>
      <w:bookmarkEnd w:id="4"/>
      <w:r>
        <w:rPr>
          <w:rFonts w:hint="eastAsia" w:ascii="楷体" w:hAnsi="楷体" w:eastAsia="楷体"/>
          <w:sz w:val="24"/>
        </w:rPr>
        <w:t>成与应用的史料信息，两者共同指向初唐女性文学的政治面相与功利实用；最后，燕太妃碑中的涉佛铭文是初唐女性文学的重要遗文，更是武后融汇文学、宗教资源以行使和宣扬权力的实物见证。</w:t>
      </w:r>
    </w:p>
    <w:p>
      <w:pPr>
        <w:spacing w:line="360" w:lineRule="auto"/>
        <w:ind w:left="420" w:leftChars="200" w:firstLine="482" w:firstLineChars="200"/>
        <w:rPr>
          <w:rFonts w:ascii="楷体" w:hAnsi="楷体" w:eastAsia="楷体"/>
          <w:sz w:val="24"/>
        </w:rPr>
      </w:pPr>
      <w:r>
        <w:rPr>
          <w:rFonts w:hint="eastAsia" w:ascii="宋体" w:hAnsi="宋体" w:eastAsia="宋体"/>
          <w:b/>
          <w:bCs/>
          <w:sz w:val="24"/>
        </w:rPr>
        <w:t>[关键词]</w:t>
      </w:r>
      <w:r>
        <w:rPr>
          <w:rFonts w:ascii="宋体" w:hAnsi="宋体" w:eastAsia="宋体"/>
          <w:b/>
          <w:bCs/>
          <w:sz w:val="24"/>
        </w:rPr>
        <w:t xml:space="preserve"> </w:t>
      </w:r>
      <w:r>
        <w:rPr>
          <w:rFonts w:hint="eastAsia" w:ascii="楷体" w:hAnsi="楷体" w:eastAsia="楷体"/>
          <w:sz w:val="24"/>
        </w:rPr>
        <w:t xml:space="preserve">昭陵碑志 </w:t>
      </w:r>
      <w:r>
        <w:rPr>
          <w:rFonts w:ascii="楷体" w:hAnsi="楷体" w:eastAsia="楷体"/>
          <w:sz w:val="24"/>
        </w:rPr>
        <w:t xml:space="preserve"> </w:t>
      </w:r>
      <w:r>
        <w:rPr>
          <w:rFonts w:hint="eastAsia" w:ascii="楷体" w:hAnsi="楷体" w:eastAsia="楷体"/>
          <w:sz w:val="24"/>
        </w:rPr>
        <w:t xml:space="preserve">初唐 </w:t>
      </w:r>
      <w:r>
        <w:rPr>
          <w:rFonts w:ascii="楷体" w:hAnsi="楷体" w:eastAsia="楷体"/>
          <w:sz w:val="24"/>
        </w:rPr>
        <w:t xml:space="preserve"> </w:t>
      </w:r>
      <w:r>
        <w:rPr>
          <w:rFonts w:hint="eastAsia" w:ascii="楷体" w:hAnsi="楷体" w:eastAsia="楷体"/>
          <w:sz w:val="24"/>
        </w:rPr>
        <w:t xml:space="preserve">女性文学 </w:t>
      </w:r>
      <w:r>
        <w:rPr>
          <w:rFonts w:ascii="楷体" w:hAnsi="楷体" w:eastAsia="楷体"/>
          <w:sz w:val="24"/>
        </w:rPr>
        <w:t xml:space="preserve"> </w:t>
      </w:r>
      <w:r>
        <w:rPr>
          <w:rFonts w:hint="eastAsia" w:ascii="楷体" w:hAnsi="楷体" w:eastAsia="楷体"/>
          <w:sz w:val="24"/>
        </w:rPr>
        <w:t>武则天</w:t>
      </w:r>
    </w:p>
    <w:p>
      <w:pPr>
        <w:spacing w:line="360" w:lineRule="auto"/>
        <w:ind w:firstLine="480" w:firstLineChars="200"/>
        <w:rPr>
          <w:rFonts w:ascii="宋体" w:hAnsi="宋体" w:eastAsia="宋体"/>
          <w:sz w:val="24"/>
        </w:rPr>
      </w:pPr>
    </w:p>
    <w:p>
      <w:pPr>
        <w:spacing w:line="360" w:lineRule="auto"/>
        <w:ind w:firstLine="480" w:firstLineChars="200"/>
        <w:rPr>
          <w:rFonts w:ascii="宋体" w:hAnsi="宋体" w:eastAsia="宋体"/>
          <w:sz w:val="24"/>
        </w:rPr>
      </w:pPr>
      <w:r>
        <w:rPr>
          <w:rFonts w:ascii="宋体" w:hAnsi="宋体" w:eastAsia="宋体"/>
          <w:sz w:val="24"/>
        </w:rPr>
        <w:t>在初唐的政治和文</w:t>
      </w:r>
      <w:r>
        <w:rPr>
          <w:rFonts w:hint="eastAsia" w:ascii="宋体" w:hAnsi="宋体" w:eastAsia="宋体"/>
          <w:sz w:val="24"/>
        </w:rPr>
        <w:t>学</w:t>
      </w:r>
      <w:r>
        <w:rPr>
          <w:rFonts w:ascii="宋体" w:hAnsi="宋体" w:eastAsia="宋体"/>
          <w:sz w:val="24"/>
        </w:rPr>
        <w:t>舞台上，集中于帝国中心的上层女性曾发挥重要影响，然而除了个别尤为知名者，传世文献对于她们的记载大多失之简略，这造成了相关研究的困难。</w:t>
      </w:r>
      <w:r>
        <w:rPr>
          <w:rFonts w:hint="eastAsia" w:ascii="宋体" w:hAnsi="宋体" w:eastAsia="宋体"/>
          <w:sz w:val="24"/>
        </w:rPr>
        <w:t>唐太宗昭陵陪葬群</w:t>
      </w:r>
      <w:r>
        <w:rPr>
          <w:rFonts w:ascii="宋体" w:hAnsi="宋体" w:eastAsia="宋体"/>
          <w:sz w:val="24"/>
        </w:rPr>
        <w:t>是初唐上层女性碑志的渊薮所在</w:t>
      </w:r>
      <w:r>
        <w:rPr>
          <w:rFonts w:hint="eastAsia" w:ascii="宋体" w:hAnsi="宋体" w:eastAsia="宋体"/>
          <w:sz w:val="24"/>
        </w:rPr>
        <w:t>，其墓主</w:t>
      </w:r>
      <w:r>
        <w:rPr>
          <w:rFonts w:ascii="宋体" w:hAnsi="宋体" w:eastAsia="宋体"/>
          <w:sz w:val="24"/>
        </w:rPr>
        <w:t>是初唐女性中最具权势的人物，</w:t>
      </w:r>
      <w:r>
        <w:rPr>
          <w:rFonts w:hint="eastAsia" w:ascii="宋体" w:hAnsi="宋体" w:eastAsia="宋体"/>
          <w:sz w:val="24"/>
        </w:rPr>
        <w:t>包括</w:t>
      </w:r>
      <w:r>
        <w:rPr>
          <w:rFonts w:ascii="宋体" w:hAnsi="宋体" w:eastAsia="宋体"/>
          <w:sz w:val="24"/>
        </w:rPr>
        <w:t>陪葬的后妃、公主</w:t>
      </w:r>
      <w:r>
        <w:rPr>
          <w:rFonts w:hint="eastAsia" w:ascii="宋体" w:hAnsi="宋体" w:eastAsia="宋体"/>
          <w:sz w:val="24"/>
        </w:rPr>
        <w:t>、</w:t>
      </w:r>
      <w:r>
        <w:rPr>
          <w:rFonts w:ascii="宋体" w:hAnsi="宋体" w:eastAsia="宋体"/>
          <w:sz w:val="24"/>
        </w:rPr>
        <w:t>陪陵</w:t>
      </w:r>
      <w:r>
        <w:rPr>
          <w:rFonts w:hint="eastAsia" w:ascii="宋体" w:hAnsi="宋体" w:eastAsia="宋体"/>
          <w:sz w:val="24"/>
        </w:rPr>
        <w:t>者</w:t>
      </w:r>
      <w:r>
        <w:rPr>
          <w:rFonts w:ascii="宋体" w:hAnsi="宋体" w:eastAsia="宋体"/>
          <w:sz w:val="24"/>
        </w:rPr>
        <w:t>的祔葬配偶与后人等</w:t>
      </w:r>
      <w:r>
        <w:rPr>
          <w:rFonts w:hint="eastAsia" w:ascii="宋体" w:hAnsi="宋体" w:eastAsia="宋体"/>
          <w:sz w:val="24"/>
        </w:rPr>
        <w:t>，构成以特定女性群体为书写对象的高规格碑志集群</w:t>
      </w:r>
      <w:r>
        <w:rPr>
          <w:rFonts w:ascii="宋体" w:hAnsi="宋体" w:eastAsia="宋体"/>
          <w:sz w:val="24"/>
        </w:rPr>
        <w:t>。</w:t>
      </w:r>
      <w:r>
        <w:rPr>
          <w:rFonts w:hint="eastAsia" w:ascii="宋体" w:hAnsi="宋体" w:eastAsia="宋体"/>
          <w:sz w:val="24"/>
        </w:rPr>
        <w:t>《</w:t>
      </w:r>
      <w:r>
        <w:rPr>
          <w:rFonts w:ascii="宋体" w:hAnsi="宋体" w:eastAsia="宋体"/>
          <w:sz w:val="24"/>
        </w:rPr>
        <w:t>唐会要》对陪陵</w:t>
      </w:r>
      <w:r>
        <w:rPr>
          <w:rFonts w:hint="eastAsia" w:ascii="宋体" w:hAnsi="宋体" w:eastAsia="宋体"/>
          <w:sz w:val="24"/>
        </w:rPr>
        <w:t>名位的记录较为详细</w:t>
      </w:r>
      <w:r>
        <w:rPr>
          <w:rFonts w:hint="eastAsia" w:ascii="宋体" w:hAnsi="宋体" w:eastAsia="宋体"/>
          <w:sz w:val="24"/>
          <w:vertAlign w:val="superscript"/>
        </w:rPr>
        <w:footnoteReference w:id="0"/>
      </w:r>
      <w:r>
        <w:rPr>
          <w:rFonts w:ascii="宋体" w:hAnsi="宋体" w:eastAsia="宋体"/>
          <w:sz w:val="24"/>
        </w:rPr>
        <w:t>，但对女性的记载缺漏尤多</w:t>
      </w:r>
      <w:r>
        <w:rPr>
          <w:rFonts w:hint="eastAsia" w:ascii="宋体" w:hAnsi="宋体" w:eastAsia="宋体"/>
          <w:sz w:val="24"/>
        </w:rPr>
        <w:t>，</w:t>
      </w:r>
      <w:r>
        <w:rPr>
          <w:rFonts w:ascii="宋体" w:hAnsi="宋体" w:eastAsia="宋体"/>
          <w:sz w:val="24"/>
        </w:rPr>
        <w:t>张沛</w:t>
      </w:r>
      <w:r>
        <w:rPr>
          <w:rFonts w:hint="eastAsia" w:ascii="宋体" w:hAnsi="宋体" w:eastAsia="宋体"/>
          <w:sz w:val="24"/>
        </w:rPr>
        <w:t>又进</w:t>
      </w:r>
      <w:r>
        <w:rPr>
          <w:rFonts w:ascii="宋体" w:hAnsi="宋体" w:eastAsia="宋体"/>
          <w:sz w:val="24"/>
        </w:rPr>
        <w:t>行过全面系统的考证</w:t>
      </w:r>
      <w:r>
        <w:rPr>
          <w:rFonts w:hint="eastAsia" w:ascii="宋体" w:hAnsi="宋体" w:eastAsia="宋体"/>
          <w:sz w:val="24"/>
        </w:rPr>
        <w:t>和订补</w:t>
      </w:r>
      <w:r>
        <w:rPr>
          <w:rFonts w:hint="eastAsia" w:ascii="宋体" w:hAnsi="宋体" w:eastAsia="宋体"/>
          <w:sz w:val="24"/>
          <w:vertAlign w:val="superscript"/>
        </w:rPr>
        <w:footnoteReference w:id="1"/>
      </w:r>
      <w:r>
        <w:rPr>
          <w:rFonts w:ascii="宋体" w:hAnsi="宋体" w:eastAsia="宋体"/>
          <w:sz w:val="24"/>
        </w:rPr>
        <w:t>。</w:t>
      </w:r>
      <w:r>
        <w:rPr>
          <w:rFonts w:hint="eastAsia" w:ascii="宋体" w:hAnsi="宋体" w:eastAsia="宋体"/>
          <w:sz w:val="24"/>
        </w:rPr>
        <w:t>近年来，石刻文献进一步拓展了唐代文学研究的格局和内涵，涉及到宫廷女性文学方面，则尤以对上官婉儿墓志的相关研究为典型。尽管如此，对于初唐女性文学作综合考察的研究仍然较为困难，本文依托昭陵女性碑志，以传世文献互参，</w:t>
      </w:r>
      <w:r>
        <w:rPr>
          <w:rFonts w:ascii="宋体" w:hAnsi="宋体" w:eastAsia="宋体"/>
          <w:sz w:val="24"/>
        </w:rPr>
        <w:t>从文本格套、史事记录、作品遗文等方面</w:t>
      </w:r>
      <w:r>
        <w:rPr>
          <w:rFonts w:hint="eastAsia" w:ascii="宋体" w:hAnsi="宋体" w:eastAsia="宋体"/>
          <w:sz w:val="24"/>
        </w:rPr>
        <w:t>入手，探讨初唐女性文学的多维面相与丰富内涵。</w:t>
      </w:r>
    </w:p>
    <w:p>
      <w:pPr>
        <w:spacing w:before="156" w:beforeLines="50" w:after="156" w:afterLines="50" w:line="360" w:lineRule="auto"/>
        <w:jc w:val="center"/>
        <w:rPr>
          <w:rFonts w:ascii="宋体" w:hAnsi="宋体" w:eastAsia="宋体"/>
          <w:b/>
          <w:bCs/>
          <w:sz w:val="28"/>
          <w:szCs w:val="28"/>
        </w:rPr>
      </w:pPr>
      <w:r>
        <w:rPr>
          <w:rFonts w:hint="eastAsia" w:ascii="宋体" w:hAnsi="宋体" w:eastAsia="宋体"/>
          <w:b/>
          <w:bCs/>
          <w:sz w:val="28"/>
          <w:szCs w:val="28"/>
        </w:rPr>
        <w:t>一、文本格套中的女性文学</w:t>
      </w:r>
    </w:p>
    <w:p>
      <w:pPr>
        <w:spacing w:line="360" w:lineRule="auto"/>
        <w:ind w:firstLine="480"/>
        <w:rPr>
          <w:rFonts w:ascii="宋体" w:hAnsi="宋体" w:eastAsia="宋体"/>
          <w:bCs/>
          <w:sz w:val="24"/>
        </w:rPr>
      </w:pPr>
      <w:r>
        <w:rPr>
          <w:rFonts w:hint="eastAsia" w:ascii="宋体" w:hAnsi="宋体" w:eastAsia="宋体"/>
          <w:bCs/>
          <w:sz w:val="24"/>
        </w:rPr>
        <w:t>昭陵女性碑志中对于女性文学的相关记载，弥补了史传的空白，为考察初唐女性文学提供了多样化的视角。胡明将唐代女作家分为三个圈域：“一宫廷人物，二官僚士人妻女，三女冠、娼妓。唐前期以宫廷诗人为大宗；安史之乱后，则以女冠、娼妓诗人为主流。”</w:t>
      </w:r>
      <w:r>
        <w:rPr>
          <w:rFonts w:ascii="宋体" w:hAnsi="宋体" w:eastAsia="宋体"/>
          <w:bCs/>
          <w:sz w:val="24"/>
          <w:vertAlign w:val="superscript"/>
        </w:rPr>
        <w:footnoteReference w:id="2"/>
      </w:r>
      <w:r>
        <w:rPr>
          <w:rFonts w:hint="eastAsia" w:ascii="宋体" w:hAnsi="宋体" w:eastAsia="宋体"/>
          <w:bCs/>
          <w:sz w:val="24"/>
        </w:rPr>
        <w:t>而对于构成“第一个圈域”的宫廷人物，以往的研究大多只关注长孙皇后、徐贤妃等留有一定作品或史料相对详细的特殊个案，但是这并不能全面展现宫廷女性文学的样貌。《新唐书·诸帝公主传》载高祖、太宗、高宗三朝公主，提及文学者仅高祖女长广公主、太宗女临川公主，且文字简略，故昭陵女性碑志的价值尤为凸显，尽管相关描述不乏碑志文格套化的用语表达，难以确证为针对特定事件所进行的记录，但在传世文献如此短缺的情况下，亦不妨将这些材料集合起来作整体的考察，试做分析：</w:t>
      </w:r>
    </w:p>
    <w:p>
      <w:pPr>
        <w:spacing w:line="360" w:lineRule="auto"/>
        <w:ind w:firstLine="480" w:firstLineChars="200"/>
        <w:rPr>
          <w:rFonts w:ascii="宋体" w:hAnsi="宋体" w:eastAsia="宋体"/>
          <w:sz w:val="24"/>
        </w:rPr>
      </w:pPr>
      <w:r>
        <w:rPr>
          <w:rFonts w:hint="eastAsia" w:ascii="宋体" w:hAnsi="宋体" w:eastAsia="宋体"/>
          <w:sz w:val="24"/>
        </w:rPr>
        <w:t>首先，将文学与女性其他的才华、技能杂糅。如《</w:t>
      </w:r>
      <w:r>
        <w:rPr>
          <w:rFonts w:ascii="宋体" w:hAnsi="宋体" w:eastAsia="宋体"/>
          <w:sz w:val="24"/>
        </w:rPr>
        <w:t>纪国太妃韦氏墓志</w:t>
      </w:r>
      <w:r>
        <w:rPr>
          <w:rFonts w:hint="eastAsia" w:ascii="宋体" w:hAnsi="宋体" w:eastAsia="宋体"/>
          <w:sz w:val="24"/>
        </w:rPr>
        <w:t>》云：“</w:t>
      </w:r>
      <w:r>
        <w:rPr>
          <w:rFonts w:ascii="宋体" w:hAnsi="宋体" w:eastAsia="宋体"/>
          <w:sz w:val="24"/>
        </w:rPr>
        <w:t>飞</w:t>
      </w:r>
      <w:r>
        <w:rPr>
          <w:rFonts w:hint="eastAsia" w:ascii="宋体" w:hAnsi="宋体" w:eastAsia="宋体"/>
          <w:sz w:val="24"/>
        </w:rPr>
        <w:t>䌽</w:t>
      </w:r>
      <w:r>
        <w:rPr>
          <w:rFonts w:ascii="宋体" w:hAnsi="宋体" w:eastAsia="宋体"/>
          <w:sz w:val="24"/>
        </w:rPr>
        <w:t>笔</w:t>
      </w:r>
      <w:r>
        <w:rPr>
          <w:rFonts w:hint="eastAsia" w:ascii="宋体" w:hAnsi="宋体" w:eastAsia="宋体"/>
          <w:sz w:val="24"/>
        </w:rPr>
        <w:t>于</w:t>
      </w:r>
      <w:r>
        <w:rPr>
          <w:rFonts w:ascii="宋体" w:hAnsi="宋体" w:eastAsia="宋体"/>
          <w:sz w:val="24"/>
        </w:rPr>
        <w:t>花旦，则鹤峙</w:t>
      </w:r>
      <w:r>
        <w:rPr>
          <w:rFonts w:hint="eastAsia" w:ascii="宋体" w:hAnsi="宋体" w:eastAsia="宋体"/>
          <w:sz w:val="24"/>
        </w:rPr>
        <w:t>〔</w:t>
      </w:r>
      <w:r>
        <w:rPr>
          <w:rFonts w:ascii="宋体" w:hAnsi="宋体" w:eastAsia="宋体"/>
          <w:sz w:val="24"/>
        </w:rPr>
        <w:t>鸿</w:t>
      </w:r>
      <w:r>
        <w:rPr>
          <w:rFonts w:hint="eastAsia" w:ascii="宋体" w:hAnsi="宋体" w:eastAsia="宋体"/>
          <w:sz w:val="24"/>
        </w:rPr>
        <w:t>〕</w:t>
      </w:r>
      <w:r>
        <w:rPr>
          <w:rFonts w:ascii="宋体" w:hAnsi="宋体" w:eastAsia="宋体"/>
          <w:sz w:val="24"/>
        </w:rPr>
        <w:t>惊；披</w:t>
      </w:r>
      <w:r>
        <w:rPr>
          <w:rFonts w:hint="eastAsia" w:ascii="宋体" w:hAnsi="宋体" w:eastAsia="宋体"/>
          <w:sz w:val="24"/>
        </w:rPr>
        <w:t>绣</w:t>
      </w:r>
      <w:r>
        <w:rPr>
          <w:rFonts w:ascii="宋体" w:hAnsi="宋体" w:eastAsia="宋体"/>
          <w:sz w:val="24"/>
        </w:rPr>
        <w:t>册</w:t>
      </w:r>
      <w:r>
        <w:rPr>
          <w:rFonts w:hint="eastAsia" w:ascii="宋体" w:hAnsi="宋体" w:eastAsia="宋体"/>
          <w:sz w:val="24"/>
        </w:rPr>
        <w:t>于</w:t>
      </w:r>
      <w:r>
        <w:rPr>
          <w:rFonts w:ascii="宋体" w:hAnsi="宋体" w:eastAsia="宋体"/>
          <w:sz w:val="24"/>
        </w:rPr>
        <w:t>娥</w:t>
      </w:r>
      <w:r>
        <w:rPr>
          <w:rFonts w:hint="eastAsia" w:ascii="宋体" w:hAnsi="宋体" w:eastAsia="宋体"/>
          <w:sz w:val="24"/>
        </w:rPr>
        <w:t>宵</w:t>
      </w:r>
      <w:r>
        <w:rPr>
          <w:rFonts w:ascii="宋体" w:hAnsi="宋体" w:eastAsia="宋体"/>
          <w:sz w:val="24"/>
        </w:rPr>
        <w:t>，则敦诗悦礼。春椒</w:t>
      </w:r>
      <w:r>
        <w:rPr>
          <w:rFonts w:hint="eastAsia" w:ascii="宋体" w:hAnsi="宋体" w:eastAsia="宋体"/>
          <w:sz w:val="24"/>
        </w:rPr>
        <w:t>起</w:t>
      </w:r>
      <w:r>
        <w:rPr>
          <w:rFonts w:ascii="宋体" w:hAnsi="宋体" w:eastAsia="宋体"/>
          <w:sz w:val="24"/>
        </w:rPr>
        <w:t>咏，艳夺巫岫之莲；秋</w:t>
      </w:r>
      <w:r>
        <w:rPr>
          <w:rFonts w:hint="eastAsia" w:ascii="宋体" w:hAnsi="宋体" w:eastAsia="宋体"/>
          <w:sz w:val="24"/>
        </w:rPr>
        <w:t>〔菊〕</w:t>
      </w:r>
      <w:r>
        <w:rPr>
          <w:rFonts w:ascii="宋体" w:hAnsi="宋体" w:eastAsia="宋体"/>
          <w:sz w:val="24"/>
        </w:rPr>
        <w:t>腾文，丽掩蜀江之锦</w:t>
      </w:r>
      <w:r>
        <w:rPr>
          <w:rFonts w:hint="eastAsia" w:ascii="宋体" w:hAnsi="宋体" w:eastAsia="宋体"/>
          <w:sz w:val="24"/>
        </w:rPr>
        <w:t>。”</w:t>
      </w:r>
      <w:r>
        <w:rPr>
          <w:rFonts w:ascii="宋体" w:hAnsi="宋体" w:eastAsia="宋体"/>
          <w:sz w:val="24"/>
          <w:vertAlign w:val="superscript"/>
        </w:rPr>
        <w:footnoteReference w:id="3"/>
      </w:r>
      <w:r>
        <w:rPr>
          <w:rFonts w:hint="eastAsia" w:ascii="宋体" w:hAnsi="宋体" w:eastAsia="宋体"/>
          <w:sz w:val="24"/>
        </w:rPr>
        <w:t>《临川郡长公主墓志》云：“</w:t>
      </w:r>
      <w:r>
        <w:rPr>
          <w:rFonts w:ascii="宋体" w:hAnsi="宋体" w:eastAsia="宋体"/>
          <w:sz w:val="24"/>
        </w:rPr>
        <w:t>惟公主幼而聪敏，志识明慧，雅好经书，尤善词笔。至</w:t>
      </w:r>
      <w:r>
        <w:rPr>
          <w:rFonts w:hint="eastAsia" w:ascii="宋体" w:hAnsi="宋体" w:eastAsia="宋体"/>
          <w:sz w:val="24"/>
        </w:rPr>
        <w:t>于</w:t>
      </w:r>
      <w:r>
        <w:rPr>
          <w:rFonts w:ascii="宋体" w:hAnsi="宋体" w:eastAsia="宋体"/>
          <w:sz w:val="24"/>
        </w:rPr>
        <w:t>繁弦促管之妙，</w:t>
      </w:r>
      <w:r>
        <w:rPr>
          <w:rFonts w:hint="eastAsia" w:ascii="宋体" w:hAnsi="宋体" w:eastAsia="宋体"/>
          <w:sz w:val="24"/>
        </w:rPr>
        <w:t>幋帨组紃</w:t>
      </w:r>
      <w:r>
        <w:rPr>
          <w:rFonts w:ascii="宋体" w:hAnsi="宋体" w:eastAsia="宋体"/>
          <w:sz w:val="24"/>
        </w:rPr>
        <w:t>之工，爰□□□，□推绝美。……所撰文笔及手写诸经</w:t>
      </w:r>
      <w:r>
        <w:rPr>
          <w:rFonts w:hint="eastAsia" w:ascii="宋体" w:hAnsi="宋体" w:eastAsia="宋体"/>
          <w:sz w:val="24"/>
        </w:rPr>
        <w:t>，</w:t>
      </w:r>
      <w:r>
        <w:rPr>
          <w:rFonts w:ascii="宋体" w:hAnsi="宋体" w:eastAsia="宋体"/>
          <w:sz w:val="24"/>
        </w:rPr>
        <w:t>又画佛像等，并流行于代，可谓九族妇德</w:t>
      </w:r>
      <w:r>
        <w:rPr>
          <w:rFonts w:hint="eastAsia" w:ascii="宋体" w:hAnsi="宋体" w:eastAsia="宋体"/>
          <w:sz w:val="24"/>
        </w:rPr>
        <w:t>、</w:t>
      </w:r>
      <w:r>
        <w:rPr>
          <w:rFonts w:ascii="宋体" w:hAnsi="宋体" w:eastAsia="宋体"/>
          <w:sz w:val="24"/>
        </w:rPr>
        <w:t>千载女师者乎</w:t>
      </w:r>
      <w:r>
        <w:rPr>
          <w:rFonts w:hint="eastAsia" w:ascii="宋体" w:hAnsi="宋体" w:eastAsia="宋体"/>
          <w:sz w:val="24"/>
        </w:rPr>
        <w:t>。”</w:t>
      </w:r>
      <w:r>
        <w:rPr>
          <w:rFonts w:ascii="宋体" w:hAnsi="宋体" w:eastAsia="宋体"/>
          <w:sz w:val="24"/>
          <w:vertAlign w:val="superscript"/>
        </w:rPr>
        <w:footnoteReference w:id="4"/>
      </w:r>
      <w:r>
        <w:rPr>
          <w:rFonts w:hint="eastAsia" w:ascii="宋体" w:hAnsi="宋体" w:eastAsia="宋体"/>
          <w:sz w:val="24"/>
        </w:rPr>
        <w:t>《新城长公主墓志》云：“</w:t>
      </w:r>
      <w:r>
        <w:rPr>
          <w:rFonts w:ascii="宋体" w:hAnsi="宋体" w:eastAsia="宋体"/>
          <w:sz w:val="24"/>
        </w:rPr>
        <w:t>染花笺于□□，体穷龙翰；发缥□</w:t>
      </w:r>
      <w:r>
        <w:rPr>
          <w:rFonts w:hint="eastAsia" w:ascii="宋体" w:hAnsi="宋体" w:eastAsia="宋体"/>
          <w:sz w:val="24"/>
        </w:rPr>
        <w:t>〔于〕</w:t>
      </w:r>
      <w:r>
        <w:rPr>
          <w:rFonts w:ascii="宋体" w:hAnsi="宋体" w:eastAsia="宋体"/>
          <w:sz w:val="24"/>
        </w:rPr>
        <w:t>□□，词□凤篆。岂□□庭淑气，唯颂春椒</w:t>
      </w:r>
      <w:r>
        <w:rPr>
          <w:rFonts w:hint="eastAsia" w:ascii="宋体" w:hAnsi="宋体" w:eastAsia="宋体"/>
          <w:sz w:val="24"/>
        </w:rPr>
        <w:t>，</w:t>
      </w:r>
      <w:r>
        <w:rPr>
          <w:rFonts w:ascii="宋体" w:hAnsi="宋体" w:eastAsia="宋体"/>
          <w:sz w:val="24"/>
        </w:rPr>
        <w:t>凄凄素序，独铭秋菊。加□□□为妙，高步</w:t>
      </w:r>
      <w:r>
        <w:rPr>
          <w:rFonts w:hint="eastAsia" w:ascii="宋体" w:hAnsi="宋体" w:eastAsia="宋体"/>
          <w:sz w:val="24"/>
        </w:rPr>
        <w:t>芝</w:t>
      </w:r>
      <w:r>
        <w:rPr>
          <w:rFonts w:ascii="宋体" w:hAnsi="宋体" w:eastAsia="宋体"/>
          <w:sz w:val="24"/>
        </w:rPr>
        <w:t>□。紃组称</w:t>
      </w:r>
      <w:r>
        <w:rPr>
          <w:rFonts w:hint="eastAsia" w:ascii="宋体" w:hAnsi="宋体" w:eastAsia="宋体"/>
          <w:sz w:val="24"/>
        </w:rPr>
        <w:t>二</w:t>
      </w:r>
      <w:r>
        <w:rPr>
          <w:rFonts w:ascii="宋体" w:hAnsi="宋体" w:eastAsia="宋体"/>
          <w:sz w:val="24"/>
        </w:rPr>
        <w:t>，□□兰掖。</w:t>
      </w:r>
      <w:r>
        <w:rPr>
          <w:rFonts w:hint="eastAsia" w:ascii="宋体" w:hAnsi="宋体" w:eastAsia="宋体"/>
          <w:sz w:val="24"/>
        </w:rPr>
        <w:t>”</w:t>
      </w:r>
      <w:r>
        <w:rPr>
          <w:rFonts w:ascii="宋体" w:hAnsi="宋体" w:eastAsia="宋体"/>
          <w:sz w:val="24"/>
          <w:vertAlign w:val="superscript"/>
        </w:rPr>
        <w:footnoteReference w:id="5"/>
      </w:r>
      <w:r>
        <w:rPr>
          <w:rFonts w:ascii="宋体" w:hAnsi="宋体" w:eastAsia="宋体"/>
          <w:sz w:val="24"/>
        </w:rPr>
        <w:t>《</w:t>
      </w:r>
      <w:r>
        <w:rPr>
          <w:rFonts w:hint="eastAsia" w:ascii="宋体" w:hAnsi="宋体" w:eastAsia="宋体"/>
          <w:sz w:val="24"/>
        </w:rPr>
        <w:t>大唐故</w:t>
      </w:r>
      <w:r>
        <w:rPr>
          <w:rFonts w:ascii="宋体" w:hAnsi="宋体" w:eastAsia="宋体"/>
          <w:sz w:val="24"/>
        </w:rPr>
        <w:t>兰陵长公主碑》</w:t>
      </w:r>
      <w:r>
        <w:rPr>
          <w:rFonts w:hint="eastAsia" w:ascii="宋体" w:hAnsi="宋体" w:eastAsia="宋体"/>
          <w:sz w:val="24"/>
        </w:rPr>
        <w:t>云：“</w:t>
      </w:r>
      <w:r>
        <w:rPr>
          <w:rFonts w:ascii="宋体" w:hAnsi="宋体" w:eastAsia="宋体"/>
          <w:sz w:val="24"/>
        </w:rPr>
        <w:t>秋窗望月，春榭临风。裁</w:t>
      </w:r>
      <w:r>
        <w:rPr>
          <w:rFonts w:hint="eastAsia" w:ascii="宋体" w:hAnsi="宋体" w:eastAsia="宋体"/>
          <w:sz w:val="24"/>
        </w:rPr>
        <w:t>葴</w:t>
      </w:r>
      <w:r>
        <w:rPr>
          <w:rFonts w:ascii="宋体" w:hAnsi="宋体" w:eastAsia="宋体"/>
          <w:sz w:val="24"/>
        </w:rPr>
        <w:t>作范，草赋开蒙。词温华瑾，文艳雕虫。铅芳罢饰，紃组为工。</w:t>
      </w:r>
      <w:r>
        <w:rPr>
          <w:rFonts w:hint="eastAsia" w:ascii="宋体" w:hAnsi="宋体" w:eastAsia="宋体"/>
          <w:sz w:val="24"/>
        </w:rPr>
        <w:t>”</w:t>
      </w:r>
      <w:r>
        <w:rPr>
          <w:rFonts w:ascii="宋体" w:hAnsi="宋体" w:eastAsia="宋体"/>
          <w:sz w:val="24"/>
          <w:vertAlign w:val="superscript"/>
        </w:rPr>
        <w:footnoteReference w:id="6"/>
      </w:r>
      <w:r>
        <w:rPr>
          <w:rFonts w:hint="eastAsia" w:ascii="宋体" w:hAnsi="宋体" w:eastAsia="宋体"/>
          <w:sz w:val="24"/>
        </w:rPr>
        <w:t>这些描述中，文学修养多与绘画、书法、音乐、女红等其他素质对举或并列。</w:t>
      </w:r>
    </w:p>
    <w:p>
      <w:pPr>
        <w:spacing w:line="360" w:lineRule="auto"/>
        <w:ind w:firstLine="480" w:firstLineChars="200"/>
        <w:rPr>
          <w:rFonts w:ascii="宋体" w:hAnsi="宋体" w:eastAsia="宋体"/>
          <w:sz w:val="24"/>
        </w:rPr>
      </w:pPr>
      <w:r>
        <w:rPr>
          <w:rFonts w:hint="eastAsia" w:ascii="宋体" w:hAnsi="宋体" w:eastAsia="宋体"/>
          <w:sz w:val="24"/>
        </w:rPr>
        <w:t>其次，对女性文学活动场景的想象。如《</w:t>
      </w:r>
      <w:r>
        <w:rPr>
          <w:rFonts w:ascii="宋体" w:hAnsi="宋体" w:eastAsia="宋体"/>
          <w:sz w:val="24"/>
        </w:rPr>
        <w:t>越国太妃燕氏碑</w:t>
      </w:r>
      <w:r>
        <w:rPr>
          <w:rFonts w:hint="eastAsia" w:ascii="宋体" w:hAnsi="宋体" w:eastAsia="宋体"/>
          <w:sz w:val="24"/>
        </w:rPr>
        <w:t>》云：“</w:t>
      </w:r>
      <w:r>
        <w:rPr>
          <w:rFonts w:ascii="宋体" w:hAnsi="宋体" w:eastAsia="宋体"/>
          <w:sz w:val="24"/>
        </w:rPr>
        <w:t>泛观子史，每三复于天经；讽</w:t>
      </w:r>
      <w:r>
        <w:rPr>
          <w:rFonts w:hint="eastAsia" w:ascii="宋体" w:hAnsi="宋体" w:eastAsia="宋体"/>
          <w:sz w:val="24"/>
        </w:rPr>
        <w:t>玩</w:t>
      </w:r>
      <w:r>
        <w:rPr>
          <w:rFonts w:ascii="宋体" w:hAnsi="宋体" w:eastAsia="宋体"/>
          <w:sz w:val="24"/>
        </w:rPr>
        <w:t>图书，必再循于节义。击赏名教，照澈于清襟；褒尚贞良，冥通于雅操。沉研训诫，终日忘疲；握</w:t>
      </w:r>
      <w:r>
        <w:rPr>
          <w:rFonts w:hint="eastAsia" w:ascii="宋体" w:hAnsi="宋体" w:eastAsia="宋体"/>
          <w:sz w:val="24"/>
        </w:rPr>
        <w:t>玩</w:t>
      </w:r>
      <w:r>
        <w:rPr>
          <w:rFonts w:ascii="宋体" w:hAnsi="宋体" w:eastAsia="宋体"/>
          <w:sz w:val="24"/>
        </w:rPr>
        <w:t>绨缃，通宵抚卷。至于纰文缺典，登耳必综于心；美句</w:t>
      </w:r>
      <w:r>
        <w:rPr>
          <w:rFonts w:hint="eastAsia" w:ascii="宋体" w:hAnsi="宋体" w:eastAsia="宋体"/>
          <w:sz w:val="24"/>
        </w:rPr>
        <w:t>妍</w:t>
      </w:r>
      <w:r>
        <w:rPr>
          <w:rFonts w:ascii="宋体" w:hAnsi="宋体" w:eastAsia="宋体"/>
          <w:sz w:val="24"/>
        </w:rPr>
        <w:t>词，过目悉登于</w:t>
      </w:r>
      <w:r>
        <w:rPr>
          <w:rFonts w:hint="eastAsia" w:ascii="宋体" w:hAnsi="宋体" w:eastAsia="宋体"/>
          <w:sz w:val="24"/>
        </w:rPr>
        <w:t>□。”</w:t>
      </w:r>
      <w:r>
        <w:rPr>
          <w:rFonts w:ascii="宋体" w:hAnsi="宋体" w:eastAsia="宋体"/>
          <w:sz w:val="24"/>
          <w:vertAlign w:val="superscript"/>
        </w:rPr>
        <w:footnoteReference w:id="7"/>
      </w:r>
      <w:r>
        <w:rPr>
          <w:rFonts w:hint="eastAsia" w:ascii="宋体" w:hAnsi="宋体" w:eastAsia="宋体"/>
          <w:sz w:val="24"/>
        </w:rPr>
        <w:t>这段文字描绘了燕妃“</w:t>
      </w:r>
      <w:r>
        <w:rPr>
          <w:rFonts w:ascii="宋体" w:hAnsi="宋体" w:eastAsia="宋体"/>
          <w:sz w:val="24"/>
        </w:rPr>
        <w:t>泛观</w:t>
      </w:r>
      <w:r>
        <w:rPr>
          <w:rFonts w:hint="eastAsia" w:ascii="宋体" w:hAnsi="宋体" w:eastAsia="宋体"/>
          <w:sz w:val="24"/>
        </w:rPr>
        <w:t>”“</w:t>
      </w:r>
      <w:r>
        <w:rPr>
          <w:rFonts w:ascii="宋体" w:hAnsi="宋体" w:eastAsia="宋体"/>
          <w:sz w:val="24"/>
        </w:rPr>
        <w:t>讽</w:t>
      </w:r>
      <w:r>
        <w:rPr>
          <w:rFonts w:hint="eastAsia" w:ascii="宋体" w:hAnsi="宋体" w:eastAsia="宋体"/>
          <w:sz w:val="24"/>
        </w:rPr>
        <w:t>玩”“</w:t>
      </w:r>
      <w:r>
        <w:rPr>
          <w:rFonts w:ascii="宋体" w:hAnsi="宋体" w:eastAsia="宋体"/>
          <w:sz w:val="24"/>
        </w:rPr>
        <w:t>握</w:t>
      </w:r>
      <w:r>
        <w:rPr>
          <w:rFonts w:hint="eastAsia" w:ascii="宋体" w:hAnsi="宋体" w:eastAsia="宋体"/>
          <w:sz w:val="24"/>
        </w:rPr>
        <w:t>玩”“</w:t>
      </w:r>
      <w:r>
        <w:rPr>
          <w:rFonts w:ascii="宋体" w:hAnsi="宋体" w:eastAsia="宋体"/>
          <w:sz w:val="24"/>
        </w:rPr>
        <w:t>沉研</w:t>
      </w:r>
      <w:r>
        <w:rPr>
          <w:rFonts w:hint="eastAsia" w:ascii="宋体" w:hAnsi="宋体" w:eastAsia="宋体"/>
          <w:sz w:val="24"/>
        </w:rPr>
        <w:t>”“</w:t>
      </w:r>
      <w:r>
        <w:rPr>
          <w:rFonts w:ascii="宋体" w:hAnsi="宋体" w:eastAsia="宋体"/>
          <w:sz w:val="24"/>
        </w:rPr>
        <w:t>抚卷</w:t>
      </w:r>
      <w:r>
        <w:rPr>
          <w:rFonts w:hint="eastAsia" w:ascii="宋体" w:hAnsi="宋体" w:eastAsia="宋体"/>
          <w:sz w:val="24"/>
        </w:rPr>
        <w:t>”“过目”等姿态多样的阅读状态，这为其创作提供了“</w:t>
      </w:r>
      <w:r>
        <w:rPr>
          <w:rFonts w:ascii="宋体" w:hAnsi="宋体" w:eastAsia="宋体"/>
          <w:sz w:val="24"/>
        </w:rPr>
        <w:t>纰文缺典</w:t>
      </w:r>
      <w:r>
        <w:rPr>
          <w:rFonts w:hint="eastAsia" w:ascii="宋体" w:hAnsi="宋体" w:eastAsia="宋体"/>
          <w:sz w:val="24"/>
        </w:rPr>
        <w:t>”“</w:t>
      </w:r>
      <w:r>
        <w:rPr>
          <w:rFonts w:ascii="宋体" w:hAnsi="宋体" w:eastAsia="宋体"/>
          <w:sz w:val="24"/>
        </w:rPr>
        <w:t>美句</w:t>
      </w:r>
      <w:r>
        <w:rPr>
          <w:rFonts w:hint="eastAsia" w:ascii="宋体" w:hAnsi="宋体" w:eastAsia="宋体"/>
          <w:sz w:val="24"/>
        </w:rPr>
        <w:t>妍</w:t>
      </w:r>
      <w:r>
        <w:rPr>
          <w:rFonts w:ascii="宋体" w:hAnsi="宋体" w:eastAsia="宋体"/>
          <w:sz w:val="24"/>
        </w:rPr>
        <w:t>词</w:t>
      </w:r>
      <w:r>
        <w:rPr>
          <w:rFonts w:hint="eastAsia" w:ascii="宋体" w:hAnsi="宋体" w:eastAsia="宋体"/>
          <w:sz w:val="24"/>
        </w:rPr>
        <w:t>”的知识积累。又如《文安县主墓志》云：“</w:t>
      </w:r>
      <w:r>
        <w:rPr>
          <w:rFonts w:ascii="宋体" w:hAnsi="宋体" w:eastAsia="宋体"/>
          <w:sz w:val="24"/>
        </w:rPr>
        <w:t>栖志图史，游心几律</w:t>
      </w:r>
      <w:r>
        <w:rPr>
          <w:rFonts w:hint="eastAsia" w:ascii="宋体" w:hAnsi="宋体" w:eastAsia="宋体"/>
          <w:sz w:val="24"/>
        </w:rPr>
        <w:t>。眄</w:t>
      </w:r>
      <w:r>
        <w:rPr>
          <w:rFonts w:ascii="宋体" w:hAnsi="宋体" w:eastAsia="宋体"/>
          <w:sz w:val="24"/>
        </w:rPr>
        <w:t>萋叶而兴勤，听喈音而遗</w:t>
      </w:r>
      <w:r>
        <w:rPr>
          <w:rFonts w:hint="eastAsia" w:ascii="宋体" w:hAnsi="宋体" w:eastAsia="宋体"/>
          <w:sz w:val="24"/>
        </w:rPr>
        <w:t>诐。</w:t>
      </w:r>
      <w:r>
        <w:rPr>
          <w:rFonts w:ascii="宋体" w:hAnsi="宋体" w:eastAsia="宋体"/>
          <w:sz w:val="24"/>
        </w:rPr>
        <w:t>意匠言泉之旨，飞云垂露之端。柳密</w:t>
      </w:r>
      <w:r>
        <w:rPr>
          <w:rFonts w:hint="eastAsia" w:ascii="宋体" w:hAnsi="宋体" w:eastAsia="宋体"/>
          <w:sz w:val="24"/>
        </w:rPr>
        <w:t>庄</w:t>
      </w:r>
      <w:r>
        <w:rPr>
          <w:rFonts w:ascii="宋体" w:hAnsi="宋体" w:eastAsia="宋体"/>
          <w:sz w:val="24"/>
        </w:rPr>
        <w:t>窗，乍起流莺之赋；月</w:t>
      </w:r>
      <w:r>
        <w:rPr>
          <w:rFonts w:hint="eastAsia" w:ascii="宋体" w:hAnsi="宋体" w:eastAsia="宋体"/>
          <w:sz w:val="24"/>
        </w:rPr>
        <w:t>合</w:t>
      </w:r>
      <w:r>
        <w:rPr>
          <w:rFonts w:ascii="宋体" w:hAnsi="宋体" w:eastAsia="宋体"/>
          <w:sz w:val="24"/>
        </w:rPr>
        <w:t>花簟，因裁</w:t>
      </w:r>
      <w:r>
        <w:rPr>
          <w:rFonts w:hint="eastAsia" w:ascii="宋体" w:hAnsi="宋体" w:eastAsia="宋体"/>
          <w:sz w:val="24"/>
        </w:rPr>
        <w:t>捣</w:t>
      </w:r>
      <w:r>
        <w:rPr>
          <w:rFonts w:ascii="宋体" w:hAnsi="宋体" w:eastAsia="宋体"/>
          <w:sz w:val="24"/>
        </w:rPr>
        <w:t>衣之篇</w:t>
      </w:r>
      <w:r>
        <w:rPr>
          <w:rFonts w:hint="eastAsia" w:ascii="宋体" w:hAnsi="宋体" w:eastAsia="宋体"/>
          <w:sz w:val="24"/>
        </w:rPr>
        <w:t>。”</w:t>
      </w:r>
      <w:r>
        <w:rPr>
          <w:rFonts w:ascii="宋体" w:hAnsi="宋体" w:eastAsia="宋体"/>
          <w:sz w:val="24"/>
          <w:vertAlign w:val="superscript"/>
        </w:rPr>
        <w:footnoteReference w:id="8"/>
      </w:r>
      <w:r>
        <w:rPr>
          <w:rFonts w:hint="eastAsia" w:ascii="宋体" w:hAnsi="宋体" w:eastAsia="宋体"/>
          <w:sz w:val="24"/>
        </w:rPr>
        <w:t>墓志生动描绘了她为景色所触动而“</w:t>
      </w:r>
      <w:r>
        <w:rPr>
          <w:rFonts w:ascii="宋体" w:hAnsi="宋体" w:eastAsia="宋体"/>
          <w:sz w:val="24"/>
        </w:rPr>
        <w:t>乍起流莺之赋</w:t>
      </w:r>
      <w:r>
        <w:rPr>
          <w:rFonts w:hint="eastAsia" w:ascii="宋体" w:hAnsi="宋体" w:eastAsia="宋体"/>
          <w:sz w:val="24"/>
        </w:rPr>
        <w:t>”“</w:t>
      </w:r>
      <w:r>
        <w:rPr>
          <w:rFonts w:ascii="宋体" w:hAnsi="宋体" w:eastAsia="宋体"/>
          <w:sz w:val="24"/>
        </w:rPr>
        <w:t>因裁捣衣之篇</w:t>
      </w:r>
      <w:r>
        <w:rPr>
          <w:rFonts w:hint="eastAsia" w:ascii="宋体" w:hAnsi="宋体" w:eastAsia="宋体"/>
          <w:sz w:val="24"/>
        </w:rPr>
        <w:t>”的创作过程。这些碑志撰者为男性，无论其职级如何，他们在描绘宫廷女性文学活动的场面时，更多当是基于自身创作经验的合理推想。</w:t>
      </w:r>
    </w:p>
    <w:p>
      <w:pPr>
        <w:spacing w:line="360" w:lineRule="auto"/>
        <w:ind w:firstLine="480" w:firstLineChars="200"/>
        <w:rPr>
          <w:rFonts w:ascii="宋体" w:hAnsi="宋体" w:eastAsia="宋体"/>
          <w:sz w:val="24"/>
        </w:rPr>
      </w:pPr>
      <w:r>
        <w:rPr>
          <w:rFonts w:hint="eastAsia" w:ascii="宋体" w:hAnsi="宋体" w:eastAsia="宋体"/>
          <w:sz w:val="24"/>
        </w:rPr>
        <w:t>接着，反映女性文学具有一定共性特征的创作题材。如《</w:t>
      </w:r>
      <w:r>
        <w:rPr>
          <w:rFonts w:ascii="宋体" w:hAnsi="宋体" w:eastAsia="宋体"/>
          <w:sz w:val="24"/>
        </w:rPr>
        <w:t>纪国太妃韦氏墓志</w:t>
      </w:r>
      <w:r>
        <w:rPr>
          <w:rFonts w:hint="eastAsia" w:ascii="宋体" w:hAnsi="宋体" w:eastAsia="宋体"/>
          <w:sz w:val="24"/>
        </w:rPr>
        <w:t>》云：“</w:t>
      </w:r>
      <w:r>
        <w:rPr>
          <w:rFonts w:ascii="宋体" w:hAnsi="宋体" w:eastAsia="宋体"/>
          <w:sz w:val="24"/>
        </w:rPr>
        <w:t>春椒</w:t>
      </w:r>
      <w:r>
        <w:rPr>
          <w:rFonts w:hint="eastAsia" w:ascii="宋体" w:hAnsi="宋体" w:eastAsia="宋体"/>
          <w:sz w:val="24"/>
        </w:rPr>
        <w:t>起</w:t>
      </w:r>
      <w:r>
        <w:rPr>
          <w:rFonts w:ascii="宋体" w:hAnsi="宋体" w:eastAsia="宋体"/>
          <w:sz w:val="24"/>
        </w:rPr>
        <w:t>咏，艳夺巫岫之莲；秋</w:t>
      </w:r>
      <w:r>
        <w:rPr>
          <w:rFonts w:hint="eastAsia" w:ascii="宋体" w:hAnsi="宋体" w:eastAsia="宋体"/>
          <w:sz w:val="24"/>
        </w:rPr>
        <w:t>〔菊〕</w:t>
      </w:r>
      <w:r>
        <w:rPr>
          <w:rFonts w:ascii="宋体" w:hAnsi="宋体" w:eastAsia="宋体"/>
          <w:sz w:val="24"/>
        </w:rPr>
        <w:t>腾文，丽掩蜀江之锦</w:t>
      </w:r>
      <w:r>
        <w:rPr>
          <w:rFonts w:hint="eastAsia" w:ascii="宋体" w:hAnsi="宋体" w:eastAsia="宋体"/>
          <w:sz w:val="24"/>
        </w:rPr>
        <w:t>。”</w:t>
      </w:r>
      <w:r>
        <w:rPr>
          <w:rFonts w:ascii="宋体" w:hAnsi="宋体" w:eastAsia="宋体"/>
          <w:sz w:val="24"/>
          <w:vertAlign w:val="superscript"/>
        </w:rPr>
        <w:footnoteReference w:id="9"/>
      </w:r>
      <w:r>
        <w:rPr>
          <w:rFonts w:hint="eastAsia" w:ascii="宋体" w:hAnsi="宋体" w:eastAsia="宋体"/>
          <w:sz w:val="24"/>
        </w:rPr>
        <w:t>《大唐故长乐公主墓志铭》云：“</w:t>
      </w:r>
      <w:r>
        <w:rPr>
          <w:rFonts w:ascii="宋体" w:hAnsi="宋体" w:eastAsia="宋体"/>
          <w:sz w:val="24"/>
        </w:rPr>
        <w:t>对菊题铭，怀仙摛赞</w:t>
      </w:r>
      <w:r>
        <w:rPr>
          <w:rFonts w:hint="eastAsia" w:ascii="宋体" w:hAnsi="宋体" w:eastAsia="宋体"/>
          <w:sz w:val="24"/>
        </w:rPr>
        <w:t>。”</w:t>
      </w:r>
      <w:r>
        <w:rPr>
          <w:rFonts w:ascii="宋体" w:hAnsi="宋体" w:eastAsia="宋体"/>
          <w:sz w:val="24"/>
          <w:vertAlign w:val="superscript"/>
        </w:rPr>
        <w:footnoteReference w:id="10"/>
      </w:r>
      <w:r>
        <w:rPr>
          <w:rFonts w:hint="eastAsia" w:ascii="宋体" w:hAnsi="宋体" w:eastAsia="宋体"/>
          <w:sz w:val="24"/>
        </w:rPr>
        <w:t>《新城长公主墓志》云：“</w:t>
      </w:r>
      <w:r>
        <w:rPr>
          <w:rFonts w:ascii="宋体" w:hAnsi="宋体" w:eastAsia="宋体"/>
          <w:sz w:val="24"/>
        </w:rPr>
        <w:t>岂□□庭淑气，唯颂春椒</w:t>
      </w:r>
      <w:r>
        <w:rPr>
          <w:rFonts w:hint="eastAsia" w:ascii="宋体" w:hAnsi="宋体" w:eastAsia="宋体"/>
          <w:sz w:val="24"/>
        </w:rPr>
        <w:t>，</w:t>
      </w:r>
      <w:r>
        <w:rPr>
          <w:rFonts w:ascii="宋体" w:hAnsi="宋体" w:eastAsia="宋体"/>
          <w:sz w:val="24"/>
        </w:rPr>
        <w:t>凄凄素序，独铭秋菊。</w:t>
      </w:r>
      <w:r>
        <w:rPr>
          <w:rFonts w:hint="eastAsia" w:ascii="宋体" w:hAnsi="宋体" w:eastAsia="宋体"/>
          <w:sz w:val="24"/>
        </w:rPr>
        <w:t>”</w:t>
      </w:r>
      <w:r>
        <w:rPr>
          <w:rFonts w:ascii="宋体" w:hAnsi="宋体" w:eastAsia="宋体"/>
          <w:sz w:val="24"/>
          <w:vertAlign w:val="superscript"/>
        </w:rPr>
        <w:footnoteReference w:id="11"/>
      </w:r>
      <w:r>
        <w:rPr>
          <w:rFonts w:hint="eastAsia" w:ascii="宋体" w:hAnsi="宋体" w:eastAsia="宋体"/>
          <w:sz w:val="24"/>
        </w:rPr>
        <w:t>《文安县主墓志》云：“</w:t>
      </w:r>
      <w:r>
        <w:rPr>
          <w:rFonts w:ascii="宋体" w:hAnsi="宋体" w:eastAsia="宋体"/>
          <w:sz w:val="24"/>
        </w:rPr>
        <w:t>柳密</w:t>
      </w:r>
      <w:r>
        <w:rPr>
          <w:rFonts w:hint="eastAsia" w:ascii="宋体" w:hAnsi="宋体" w:eastAsia="宋体"/>
          <w:sz w:val="24"/>
        </w:rPr>
        <w:t>庄</w:t>
      </w:r>
      <w:r>
        <w:rPr>
          <w:rFonts w:ascii="宋体" w:hAnsi="宋体" w:eastAsia="宋体"/>
          <w:sz w:val="24"/>
        </w:rPr>
        <w:t>窗，乍起流莺之赋；月</w:t>
      </w:r>
      <w:r>
        <w:rPr>
          <w:rFonts w:hint="eastAsia" w:ascii="宋体" w:hAnsi="宋体" w:eastAsia="宋体"/>
          <w:sz w:val="24"/>
        </w:rPr>
        <w:t>合</w:t>
      </w:r>
      <w:r>
        <w:rPr>
          <w:rFonts w:ascii="宋体" w:hAnsi="宋体" w:eastAsia="宋体"/>
          <w:sz w:val="24"/>
        </w:rPr>
        <w:t>花簟，因裁捣衣之篇</w:t>
      </w:r>
      <w:r>
        <w:rPr>
          <w:rFonts w:hint="eastAsia" w:ascii="宋体" w:hAnsi="宋体" w:eastAsia="宋体"/>
          <w:sz w:val="24"/>
        </w:rPr>
        <w:t>。”</w:t>
      </w:r>
      <w:r>
        <w:rPr>
          <w:rFonts w:ascii="宋体" w:hAnsi="宋体" w:eastAsia="宋体"/>
          <w:sz w:val="24"/>
          <w:vertAlign w:val="superscript"/>
        </w:rPr>
        <w:footnoteReference w:id="12"/>
      </w:r>
      <w:r>
        <w:rPr>
          <w:rFonts w:hint="eastAsia" w:ascii="宋体" w:hAnsi="宋体" w:eastAsia="宋体"/>
          <w:sz w:val="24"/>
        </w:rPr>
        <w:t>《西宫二品昭仪墓志》云：“</w:t>
      </w:r>
      <w:r>
        <w:rPr>
          <w:rFonts w:ascii="宋体" w:hAnsi="宋体" w:eastAsia="宋体"/>
          <w:sz w:val="24"/>
        </w:rPr>
        <w:t>柳雪</w:t>
      </w:r>
      <w:r>
        <w:rPr>
          <w:rFonts w:hint="eastAsia" w:ascii="宋体" w:hAnsi="宋体" w:eastAsia="宋体"/>
          <w:sz w:val="24"/>
        </w:rPr>
        <w:t>飘</w:t>
      </w:r>
      <w:r>
        <w:rPr>
          <w:rFonts w:ascii="宋体" w:hAnsi="宋体" w:eastAsia="宋体"/>
          <w:sz w:val="24"/>
        </w:rPr>
        <w:t>词，椒花练试</w:t>
      </w:r>
      <w:r>
        <w:rPr>
          <w:rFonts w:hint="eastAsia" w:ascii="宋体" w:hAnsi="宋体" w:eastAsia="宋体"/>
          <w:sz w:val="24"/>
        </w:rPr>
        <w:t>。”</w:t>
      </w:r>
      <w:r>
        <w:rPr>
          <w:rFonts w:ascii="宋体" w:hAnsi="宋体" w:eastAsia="宋体"/>
          <w:sz w:val="24"/>
          <w:vertAlign w:val="superscript"/>
        </w:rPr>
        <w:footnoteReference w:id="13"/>
      </w:r>
      <w:r>
        <w:rPr>
          <w:rFonts w:hint="eastAsia" w:ascii="宋体" w:hAnsi="宋体" w:eastAsia="宋体"/>
          <w:sz w:val="24"/>
        </w:rPr>
        <w:t>《亡宫三品墓志》云：“</w:t>
      </w:r>
      <w:r>
        <w:rPr>
          <w:rFonts w:ascii="宋体" w:hAnsi="宋体" w:eastAsia="宋体"/>
          <w:sz w:val="24"/>
        </w:rPr>
        <w:t>重阳季月，讵传秋菊之文</w:t>
      </w:r>
      <w:r>
        <w:rPr>
          <w:rFonts w:hint="eastAsia" w:ascii="宋体" w:hAnsi="宋体" w:eastAsia="宋体"/>
          <w:sz w:val="24"/>
        </w:rPr>
        <w:t>。”</w:t>
      </w:r>
      <w:r>
        <w:rPr>
          <w:rFonts w:ascii="宋体" w:hAnsi="宋体" w:eastAsia="宋体"/>
          <w:sz w:val="24"/>
          <w:vertAlign w:val="superscript"/>
        </w:rPr>
        <w:footnoteReference w:id="14"/>
      </w:r>
      <w:r>
        <w:rPr>
          <w:rFonts w:hint="eastAsia" w:ascii="宋体" w:hAnsi="宋体" w:eastAsia="宋体"/>
          <w:sz w:val="24"/>
        </w:rPr>
        <w:t>《大唐故邳国夫人</w:t>
      </w:r>
      <w:r>
        <w:rPr>
          <w:rFonts w:ascii="宋体" w:hAnsi="宋体" w:eastAsia="宋体"/>
          <w:sz w:val="24"/>
        </w:rPr>
        <w:t>段</w:t>
      </w:r>
      <w:r>
        <w:rPr>
          <w:rFonts w:hint="eastAsia" w:ascii="宋体" w:hAnsi="宋体" w:eastAsia="宋体"/>
          <w:sz w:val="24"/>
        </w:rPr>
        <w:t>氏</w:t>
      </w:r>
      <w:r>
        <w:rPr>
          <w:rFonts w:ascii="宋体" w:hAnsi="宋体" w:eastAsia="宋体"/>
          <w:sz w:val="24"/>
        </w:rPr>
        <w:t>墓志</w:t>
      </w:r>
      <w:r>
        <w:rPr>
          <w:rFonts w:hint="eastAsia" w:ascii="宋体" w:hAnsi="宋体" w:eastAsia="宋体"/>
          <w:sz w:val="24"/>
        </w:rPr>
        <w:t>铭》云：“</w:t>
      </w:r>
      <w:r>
        <w:rPr>
          <w:rFonts w:ascii="宋体" w:hAnsi="宋体" w:eastAsia="宋体"/>
          <w:sz w:val="24"/>
        </w:rPr>
        <w:t>聊裁春颂，韵叶丝桐；戏属秋铭，调谐金石</w:t>
      </w:r>
      <w:r>
        <w:rPr>
          <w:rFonts w:hint="eastAsia" w:ascii="宋体" w:hAnsi="宋体" w:eastAsia="宋体"/>
          <w:sz w:val="24"/>
        </w:rPr>
        <w:t>。”</w:t>
      </w:r>
      <w:r>
        <w:rPr>
          <w:rFonts w:ascii="宋体" w:hAnsi="宋体" w:eastAsia="宋体"/>
          <w:sz w:val="24"/>
          <w:vertAlign w:val="superscript"/>
        </w:rPr>
        <w:footnoteReference w:id="15"/>
      </w:r>
      <w:r>
        <w:rPr>
          <w:rFonts w:hint="eastAsia" w:ascii="宋体" w:hAnsi="宋体" w:eastAsia="宋体"/>
          <w:sz w:val="24"/>
        </w:rPr>
        <w:t>这些记载所提到的文学素材与创作对象有“春</w:t>
      </w:r>
      <w:r>
        <w:rPr>
          <w:rFonts w:ascii="宋体" w:hAnsi="宋体" w:eastAsia="宋体"/>
          <w:sz w:val="24"/>
        </w:rPr>
        <w:t>椒</w:t>
      </w:r>
      <w:r>
        <w:rPr>
          <w:rFonts w:hint="eastAsia" w:ascii="宋体" w:hAnsi="宋体" w:eastAsia="宋体"/>
          <w:sz w:val="24"/>
        </w:rPr>
        <w:t>”“秋菊”“柳雪”“</w:t>
      </w:r>
      <w:r>
        <w:rPr>
          <w:rFonts w:ascii="宋体" w:hAnsi="宋体" w:eastAsia="宋体"/>
          <w:sz w:val="24"/>
        </w:rPr>
        <w:t>流莺</w:t>
      </w:r>
      <w:r>
        <w:rPr>
          <w:rFonts w:hint="eastAsia" w:ascii="宋体" w:hAnsi="宋体" w:eastAsia="宋体"/>
          <w:sz w:val="24"/>
        </w:rPr>
        <w:t>”等，其中“春”“秋”“</w:t>
      </w:r>
      <w:r>
        <w:rPr>
          <w:rFonts w:ascii="宋体" w:hAnsi="宋体" w:eastAsia="宋体"/>
          <w:sz w:val="24"/>
        </w:rPr>
        <w:t>椒</w:t>
      </w:r>
      <w:r>
        <w:rPr>
          <w:rFonts w:hint="eastAsia" w:ascii="宋体" w:hAnsi="宋体" w:eastAsia="宋体"/>
          <w:sz w:val="24"/>
        </w:rPr>
        <w:t>”“菊”等字出现的频率尤其高。虽然这些也是泛指，但在反映出吟咏四时节气、自然风物是这些女性进行文学创作时涉及较多的题材，这类题材一般是初学诗文便会涉及的，同时又具备即时感发的抒情特点，从宫廷女性生活经验的层面来看，具有一定的合理性。《春游曲》被认为是唐太宗长孙皇后留存至今的唯一诗作，其诗云：</w:t>
      </w:r>
    </w:p>
    <w:p>
      <w:pPr>
        <w:spacing w:before="156" w:beforeLines="50" w:after="156" w:afterLines="50" w:line="360" w:lineRule="auto"/>
        <w:ind w:left="420" w:leftChars="200" w:firstLine="480" w:firstLineChars="200"/>
        <w:rPr>
          <w:rFonts w:ascii="宋体" w:hAnsi="宋体" w:eastAsia="宋体"/>
          <w:sz w:val="24"/>
        </w:rPr>
      </w:pPr>
      <w:r>
        <w:rPr>
          <w:rFonts w:ascii="楷体" w:hAnsi="楷体" w:eastAsia="楷体"/>
          <w:sz w:val="24"/>
        </w:rPr>
        <w:t>上苑桃花朝日明，兰闺艳妾动春情。井上新桃偷面色，檐边嫩柳学身轻。花中来去看舞蝶，树上长短听啼莺。林下何须远借问，出众风流旧有名。</w:t>
      </w:r>
      <w:r>
        <w:rPr>
          <w:rFonts w:ascii="宋体" w:hAnsi="宋体" w:eastAsia="宋体"/>
          <w:sz w:val="24"/>
          <w:vertAlign w:val="superscript"/>
        </w:rPr>
        <w:footnoteReference w:id="16"/>
      </w:r>
    </w:p>
    <w:p>
      <w:pPr>
        <w:spacing w:line="360" w:lineRule="auto"/>
        <w:rPr>
          <w:rFonts w:ascii="宋体" w:hAnsi="宋体" w:eastAsia="宋体"/>
          <w:sz w:val="24"/>
        </w:rPr>
      </w:pPr>
      <w:r>
        <w:rPr>
          <w:rFonts w:hint="eastAsia" w:ascii="宋体" w:hAnsi="宋体" w:eastAsia="宋体"/>
          <w:sz w:val="24"/>
        </w:rPr>
        <w:t>这首诗记录长孙皇后春游上林苑的场景，既写上林春景之明丽，又喻皇后本人之美艳，并以“</w:t>
      </w:r>
      <w:r>
        <w:rPr>
          <w:rFonts w:ascii="宋体" w:hAnsi="宋体" w:eastAsia="宋体"/>
          <w:sz w:val="24"/>
        </w:rPr>
        <w:t>林下何须远借问，出众风流旧有名</w:t>
      </w:r>
      <w:r>
        <w:rPr>
          <w:rFonts w:hint="eastAsia" w:ascii="宋体" w:hAnsi="宋体" w:eastAsia="宋体"/>
          <w:sz w:val="24"/>
        </w:rPr>
        <w:t>”自比谢道韫，卒章显志。诗中所及风物有“桃花”“新桃”“嫩柳”“舞蝶”“</w:t>
      </w:r>
      <w:r>
        <w:rPr>
          <w:rFonts w:ascii="宋体" w:hAnsi="宋体" w:eastAsia="宋体"/>
          <w:sz w:val="24"/>
        </w:rPr>
        <w:t>啼莺</w:t>
      </w:r>
      <w:r>
        <w:rPr>
          <w:rFonts w:hint="eastAsia" w:ascii="宋体" w:hAnsi="宋体" w:eastAsia="宋体"/>
          <w:sz w:val="24"/>
        </w:rPr>
        <w:t>”等，营造出春天上林苑桃新柳嫩、蝶舞莺飞的美好场景。这首诗完全无关母仪和政教，引来后人的较多批评，如明人</w:t>
      </w:r>
      <w:r>
        <w:rPr>
          <w:rFonts w:ascii="宋体" w:hAnsi="宋体" w:eastAsia="宋体"/>
          <w:sz w:val="24"/>
        </w:rPr>
        <w:t>钟惺</w:t>
      </w:r>
      <w:r>
        <w:rPr>
          <w:rFonts w:hint="eastAsia" w:ascii="宋体" w:hAnsi="宋体" w:eastAsia="宋体"/>
          <w:sz w:val="24"/>
        </w:rPr>
        <w:t>批评：“开国圣母，亦作情艳，恐伤盛德。”</w:t>
      </w:r>
      <w:r>
        <w:rPr>
          <w:rFonts w:ascii="宋体" w:hAnsi="宋体" w:eastAsia="宋体"/>
          <w:sz w:val="24"/>
          <w:vertAlign w:val="superscript"/>
        </w:rPr>
        <w:footnoteReference w:id="17"/>
      </w:r>
      <w:r>
        <w:rPr>
          <w:rFonts w:hint="eastAsia" w:ascii="宋体" w:hAnsi="宋体" w:eastAsia="宋体"/>
          <w:sz w:val="24"/>
        </w:rPr>
        <w:t>放在当时的历史语境下，这首诗虽然稍显浮艳，但是充分展现出了作者的性情和生活，这与史传中塑造的长孙皇后严肃庄重的形象大为不同，显得更为真实亲切。无论此诗是否为长孙皇后所撰，至少就诗中物象而论，《春游曲》是契合当时女性文学创作实际的。</w:t>
      </w:r>
    </w:p>
    <w:p>
      <w:pPr>
        <w:spacing w:line="360" w:lineRule="auto"/>
        <w:ind w:firstLine="480" w:firstLineChars="200"/>
        <w:rPr>
          <w:rFonts w:ascii="宋体" w:hAnsi="宋体" w:eastAsia="宋体"/>
          <w:sz w:val="24"/>
        </w:rPr>
      </w:pPr>
      <w:r>
        <w:rPr>
          <w:rFonts w:hint="eastAsia" w:ascii="宋体" w:hAnsi="宋体" w:eastAsia="宋体"/>
          <w:sz w:val="24"/>
        </w:rPr>
        <w:t>最后，提示了女性文学的文体、批评等信息。文学体裁方面，除诗、文等概念，还有一些特定的文体，如《大唐故长乐公主墓志铭》《新城长公主墓志》涉及“铭”“赞”“颂”等具体的文类；文学批评方面，如《纪</w:t>
      </w:r>
      <w:r>
        <w:rPr>
          <w:rFonts w:ascii="宋体" w:hAnsi="宋体" w:eastAsia="宋体"/>
          <w:sz w:val="24"/>
        </w:rPr>
        <w:t>国太妃韦氏墓志</w:t>
      </w:r>
      <w:r>
        <w:rPr>
          <w:rFonts w:hint="eastAsia" w:ascii="宋体" w:hAnsi="宋体" w:eastAsia="宋体"/>
          <w:sz w:val="24"/>
        </w:rPr>
        <w:t>》</w:t>
      </w:r>
      <w:r>
        <w:rPr>
          <w:rFonts w:ascii="宋体" w:hAnsi="宋体" w:eastAsia="宋体"/>
          <w:sz w:val="24"/>
        </w:rPr>
        <w:t>《越国太妃燕氏碑</w:t>
      </w:r>
      <w:r>
        <w:rPr>
          <w:rFonts w:hint="eastAsia" w:ascii="宋体" w:hAnsi="宋体" w:eastAsia="宋体"/>
          <w:sz w:val="24"/>
        </w:rPr>
        <w:t>》《西宫二品昭仪墓志》《</w:t>
      </w:r>
      <w:r>
        <w:rPr>
          <w:rFonts w:ascii="宋体" w:hAnsi="宋体" w:eastAsia="宋体"/>
          <w:sz w:val="24"/>
        </w:rPr>
        <w:t>兰陵长公主碑</w:t>
      </w:r>
      <w:r>
        <w:rPr>
          <w:rFonts w:hint="eastAsia" w:ascii="宋体" w:hAnsi="宋体" w:eastAsia="宋体"/>
          <w:sz w:val="24"/>
        </w:rPr>
        <w:t>》等，以 “艳”“丽”“妍”“温”“柔”“</w:t>
      </w:r>
      <w:r>
        <w:rPr>
          <w:rFonts w:ascii="宋体" w:hAnsi="宋体" w:eastAsia="宋体"/>
          <w:sz w:val="24"/>
        </w:rPr>
        <w:t>怀摛藻</w:t>
      </w:r>
      <w:r>
        <w:rPr>
          <w:rFonts w:hint="eastAsia" w:ascii="宋体" w:hAnsi="宋体" w:eastAsia="宋体"/>
          <w:sz w:val="24"/>
        </w:rPr>
        <w:t>”“</w:t>
      </w:r>
      <w:r>
        <w:rPr>
          <w:rFonts w:ascii="宋体" w:hAnsi="宋体" w:eastAsia="宋体"/>
          <w:sz w:val="24"/>
        </w:rPr>
        <w:t>含规模</w:t>
      </w:r>
      <w:r>
        <w:rPr>
          <w:rFonts w:hint="eastAsia" w:ascii="宋体" w:hAnsi="宋体" w:eastAsia="宋体"/>
          <w:sz w:val="24"/>
        </w:rPr>
        <w:t>”“符</w:t>
      </w:r>
      <w:r>
        <w:rPr>
          <w:rFonts w:ascii="宋体" w:hAnsi="宋体" w:eastAsia="宋体"/>
          <w:sz w:val="24"/>
        </w:rPr>
        <w:t>内则</w:t>
      </w:r>
      <w:r>
        <w:rPr>
          <w:rFonts w:hint="eastAsia" w:ascii="宋体" w:hAnsi="宋体" w:eastAsia="宋体"/>
          <w:sz w:val="24"/>
        </w:rPr>
        <w:t>”“蕴内训”等为评点，将对理想女性形象的期许寄托到了女性文学上。</w:t>
      </w:r>
    </w:p>
    <w:p>
      <w:pPr>
        <w:spacing w:line="360" w:lineRule="auto"/>
        <w:ind w:firstLine="480" w:firstLineChars="200"/>
        <w:rPr>
          <w:rFonts w:ascii="宋体" w:hAnsi="宋体" w:eastAsia="宋体"/>
          <w:sz w:val="24"/>
        </w:rPr>
      </w:pPr>
      <w:r>
        <w:rPr>
          <w:rFonts w:hint="eastAsia" w:ascii="宋体" w:hAnsi="宋体" w:eastAsia="宋体"/>
          <w:sz w:val="24"/>
        </w:rPr>
        <w:t>昭陵碑志对女性文学的格套化叙述，是女性文学实际与男性书写视角融合的产物。</w:t>
      </w:r>
      <w:r>
        <w:rPr>
          <w:rFonts w:ascii="宋体" w:hAnsi="宋体" w:eastAsia="宋体"/>
          <w:sz w:val="24"/>
        </w:rPr>
        <w:t>造成碑志文本格套化的是普遍的社会观念，无论墓主是男性还是女性，碑志都需要将他们塑造成合乎社会期许的样子，就像昭陵陪葬功臣碑志会注重表现墓主的忠勇与功勋，昭陵女性碑志亦会将传统社会中的理想女性形象映射于墓志的女性书写之中，而这种社会共识限定了文本关涉的叙述维度，文本格套也就基本定型</w:t>
      </w:r>
      <w:r>
        <w:rPr>
          <w:rFonts w:hint="eastAsia" w:ascii="宋体" w:hAnsi="宋体" w:eastAsia="宋体"/>
          <w:sz w:val="24"/>
        </w:rPr>
        <w:t>，而文学即是其中之一</w:t>
      </w:r>
      <w:r>
        <w:rPr>
          <w:rFonts w:ascii="宋体" w:hAnsi="宋体" w:eastAsia="宋体"/>
          <w:sz w:val="24"/>
        </w:rPr>
        <w:t>。</w:t>
      </w:r>
      <w:r>
        <w:rPr>
          <w:rFonts w:hint="eastAsia" w:ascii="宋体" w:hAnsi="宋体" w:eastAsia="宋体"/>
          <w:sz w:val="24"/>
        </w:rPr>
        <w:t>从现实角度来看，女性在创作时未必就想要强调自己的性别特征，故其作品与士人相比也未必有这么鲜明的区别。而昭陵女性碑志对于墓主文学方面的记录，则是将其作为展现作者性别特质、凸显女性才能的环节，无论是对女性文学创作场景的想象，还是对相关情况泛论式、格套式的描绘，都在不同程度上反映出男性视角下女性文学的样貌。但反过来看，这种男性视角正反映出女性文学在当时文学生态中的真实处境，虽然初唐的朝官文士赋予文学以光辉的政教理想，但是在他们看来，女性文学并不具备这种深刻性，而是沦为一种格套化的性别修饰。</w:t>
      </w:r>
    </w:p>
    <w:p>
      <w:pPr>
        <w:spacing w:before="156" w:beforeLines="50" w:after="156" w:afterLines="50" w:line="360" w:lineRule="auto"/>
        <w:jc w:val="center"/>
        <w:rPr>
          <w:rFonts w:ascii="宋体" w:hAnsi="宋体" w:eastAsia="宋体"/>
          <w:b/>
          <w:bCs/>
          <w:sz w:val="28"/>
          <w:szCs w:val="28"/>
        </w:rPr>
      </w:pPr>
      <w:r>
        <w:rPr>
          <w:rFonts w:hint="eastAsia" w:ascii="宋体" w:hAnsi="宋体" w:eastAsia="宋体"/>
          <w:b/>
          <w:bCs/>
          <w:sz w:val="28"/>
          <w:szCs w:val="28"/>
        </w:rPr>
        <w:t>二、宫廷女性的文学养成与应用</w:t>
      </w:r>
    </w:p>
    <w:p>
      <w:pPr>
        <w:spacing w:line="360" w:lineRule="auto"/>
        <w:ind w:firstLine="480" w:firstLineChars="200"/>
        <w:rPr>
          <w:rFonts w:ascii="宋体" w:hAnsi="宋体" w:eastAsia="宋体"/>
          <w:sz w:val="24"/>
        </w:rPr>
      </w:pPr>
      <w:r>
        <w:rPr>
          <w:rFonts w:hint="eastAsia" w:ascii="宋体" w:hAnsi="宋体" w:eastAsia="宋体"/>
          <w:sz w:val="24"/>
        </w:rPr>
        <w:t>相对于泛泛而论的文本格套，昭陵女性碑志还提供了反映初唐宫廷女性文学实例的史料。</w:t>
      </w:r>
      <w:r>
        <w:rPr>
          <w:rFonts w:ascii="宋体" w:hAnsi="宋体" w:eastAsia="宋体"/>
          <w:sz w:val="24"/>
        </w:rPr>
        <w:t>碑志是对墓主盖棺定论式的总结和评价，虽然存在美饰甚至夸饰的情况，但其所着重记述的事件</w:t>
      </w:r>
      <w:r>
        <w:rPr>
          <w:rFonts w:hint="eastAsia" w:ascii="宋体" w:hAnsi="宋体" w:eastAsia="宋体"/>
          <w:sz w:val="24"/>
        </w:rPr>
        <w:t>，</w:t>
      </w:r>
      <w:r>
        <w:rPr>
          <w:rFonts w:ascii="宋体" w:hAnsi="宋体" w:eastAsia="宋体"/>
          <w:sz w:val="24"/>
        </w:rPr>
        <w:t>一般是其生平中被</w:t>
      </w:r>
      <w:r>
        <w:rPr>
          <w:rFonts w:hint="eastAsia" w:ascii="宋体" w:hAnsi="宋体" w:eastAsia="宋体"/>
          <w:sz w:val="24"/>
        </w:rPr>
        <w:t>认为最</w:t>
      </w:r>
      <w:r>
        <w:rPr>
          <w:rFonts w:ascii="宋体" w:hAnsi="宋体" w:eastAsia="宋体"/>
          <w:sz w:val="24"/>
        </w:rPr>
        <w:t>重要或</w:t>
      </w:r>
      <w:r>
        <w:rPr>
          <w:rFonts w:hint="eastAsia" w:ascii="宋体" w:hAnsi="宋体" w:eastAsia="宋体"/>
          <w:sz w:val="24"/>
        </w:rPr>
        <w:t>最荣</w:t>
      </w:r>
      <w:r>
        <w:rPr>
          <w:rFonts w:ascii="宋体" w:hAnsi="宋体" w:eastAsia="宋体"/>
          <w:sz w:val="24"/>
        </w:rPr>
        <w:t>耀的</w:t>
      </w:r>
      <w:r>
        <w:rPr>
          <w:rFonts w:hint="eastAsia" w:ascii="宋体" w:hAnsi="宋体" w:eastAsia="宋体"/>
          <w:sz w:val="24"/>
        </w:rPr>
        <w:t>典型</w:t>
      </w:r>
      <w:r>
        <w:rPr>
          <w:rFonts w:ascii="宋体" w:hAnsi="宋体" w:eastAsia="宋体"/>
          <w:sz w:val="24"/>
        </w:rPr>
        <w:t>事迹，涉及后妃、公主等重要历史人物之时更是如此</w:t>
      </w:r>
      <w:r>
        <w:rPr>
          <w:rFonts w:hint="eastAsia" w:ascii="宋体" w:hAnsi="宋体" w:eastAsia="宋体"/>
          <w:sz w:val="24"/>
        </w:rPr>
        <w:t>，故昭陵碑志对相关女性文学实绩的记载，尤其显示出时人的重视，特别是在文学养成机制、文学预政传统等方面，为我们提供了资料依托。</w:t>
      </w:r>
    </w:p>
    <w:p>
      <w:pPr>
        <w:spacing w:line="360" w:lineRule="auto"/>
        <w:ind w:firstLine="482" w:firstLineChars="200"/>
        <w:rPr>
          <w:rFonts w:ascii="宋体" w:hAnsi="宋体" w:eastAsia="宋体"/>
          <w:b/>
          <w:sz w:val="24"/>
        </w:rPr>
      </w:pPr>
      <w:r>
        <w:rPr>
          <w:rFonts w:hint="eastAsia" w:ascii="宋体" w:hAnsi="宋体" w:eastAsia="宋体"/>
          <w:b/>
          <w:sz w:val="24"/>
        </w:rPr>
        <w:t>（一）文学养成</w:t>
      </w:r>
    </w:p>
    <w:p>
      <w:pPr>
        <w:spacing w:line="360" w:lineRule="auto"/>
        <w:ind w:firstLine="480" w:firstLineChars="200"/>
        <w:rPr>
          <w:rFonts w:ascii="宋体" w:hAnsi="宋体" w:eastAsia="宋体"/>
          <w:bCs/>
          <w:sz w:val="24"/>
        </w:rPr>
      </w:pPr>
      <w:r>
        <w:rPr>
          <w:rFonts w:ascii="宋体" w:hAnsi="宋体" w:eastAsia="宋体"/>
          <w:bCs/>
          <w:sz w:val="24"/>
        </w:rPr>
        <w:t>宫廷女性</w:t>
      </w:r>
      <w:r>
        <w:rPr>
          <w:rFonts w:hint="eastAsia" w:ascii="宋体" w:hAnsi="宋体" w:eastAsia="宋体"/>
          <w:bCs/>
          <w:sz w:val="24"/>
        </w:rPr>
        <w:t>文学的养成，</w:t>
      </w:r>
      <w:r>
        <w:rPr>
          <w:rFonts w:ascii="宋体" w:hAnsi="宋体" w:eastAsia="宋体"/>
          <w:bCs/>
          <w:sz w:val="24"/>
        </w:rPr>
        <w:t>不仅与个人的天分、兴趣</w:t>
      </w:r>
      <w:r>
        <w:rPr>
          <w:rFonts w:hint="eastAsia" w:ascii="宋体" w:hAnsi="宋体" w:eastAsia="宋体"/>
          <w:bCs/>
          <w:sz w:val="24"/>
        </w:rPr>
        <w:t>、</w:t>
      </w:r>
      <w:r>
        <w:rPr>
          <w:rFonts w:ascii="宋体" w:hAnsi="宋体" w:eastAsia="宋体"/>
          <w:bCs/>
          <w:sz w:val="24"/>
        </w:rPr>
        <w:t>努力有关，更</w:t>
      </w:r>
      <w:r>
        <w:rPr>
          <w:rFonts w:hint="eastAsia" w:ascii="宋体" w:hAnsi="宋体" w:eastAsia="宋体"/>
          <w:bCs/>
          <w:sz w:val="24"/>
        </w:rPr>
        <w:t>有赖于良好的教育</w:t>
      </w:r>
      <w:r>
        <w:rPr>
          <w:rFonts w:ascii="宋体" w:hAnsi="宋体" w:eastAsia="宋体"/>
          <w:bCs/>
          <w:sz w:val="24"/>
        </w:rPr>
        <w:t>机制。宫廷女性是一个比较笼统的概念，一般而言，皇帝的女儿出生并成长于宫中，而皇帝的后妃从宫外选入宫中，两者接受教育的情况</w:t>
      </w:r>
      <w:r>
        <w:rPr>
          <w:rFonts w:hint="eastAsia" w:ascii="宋体" w:hAnsi="宋体" w:eastAsia="宋体"/>
          <w:bCs/>
          <w:sz w:val="24"/>
        </w:rPr>
        <w:t>自然就会</w:t>
      </w:r>
      <w:r>
        <w:rPr>
          <w:rFonts w:ascii="宋体" w:hAnsi="宋体" w:eastAsia="宋体"/>
          <w:bCs/>
          <w:sz w:val="24"/>
        </w:rPr>
        <w:t>有所不同。</w:t>
      </w:r>
      <w:r>
        <w:rPr>
          <w:rFonts w:hint="eastAsia" w:ascii="宋体" w:hAnsi="宋体" w:eastAsia="宋体"/>
          <w:bCs/>
          <w:sz w:val="24"/>
        </w:rPr>
        <w:t>内文学馆是唐代对宫人进行文化教育的机构，自武德便已设立，在武则天时改名习艺馆，</w:t>
      </w:r>
      <w:r>
        <w:rPr>
          <w:rFonts w:hint="eastAsia" w:ascii="宋体" w:hAnsi="宋体" w:eastAsia="宋体"/>
          <w:bCs/>
          <w:color w:val="000000" w:themeColor="text1"/>
          <w:sz w:val="24"/>
          <w14:textFill>
            <w14:solidFill>
              <w14:schemeClr w14:val="tx1"/>
            </w14:solidFill>
          </w14:textFill>
        </w:rPr>
        <w:t>又改为翰林内教坊，</w:t>
      </w:r>
      <w:r>
        <w:rPr>
          <w:rFonts w:hint="eastAsia" w:ascii="宋体" w:hAnsi="宋体" w:eastAsia="宋体"/>
          <w:bCs/>
          <w:sz w:val="24"/>
        </w:rPr>
        <w:t>承担着教育宫人的职责。</w:t>
      </w:r>
      <w:r>
        <w:rPr>
          <w:rStyle w:val="10"/>
          <w:rFonts w:hint="eastAsia" w:ascii="宋体" w:hAnsi="宋体" w:eastAsia="宋体"/>
          <w:bCs/>
          <w:sz w:val="24"/>
        </w:rPr>
        <w:footnoteReference w:id="18"/>
      </w:r>
      <w:r>
        <w:rPr>
          <w:rFonts w:hint="eastAsia" w:ascii="宋体" w:hAnsi="宋体" w:eastAsia="宋体"/>
          <w:bCs/>
          <w:sz w:val="24"/>
        </w:rPr>
        <w:t>不过对于身份更为尊贵的公主、后妃而言，她们所享受到的教育资源则更为特殊，《大唐故</w:t>
      </w:r>
      <w:r>
        <w:rPr>
          <w:rFonts w:ascii="宋体" w:hAnsi="宋体" w:eastAsia="宋体"/>
          <w:bCs/>
          <w:sz w:val="24"/>
        </w:rPr>
        <w:t>临川郡长公主墓志</w:t>
      </w:r>
      <w:r>
        <w:rPr>
          <w:rFonts w:hint="eastAsia" w:ascii="宋体" w:hAnsi="宋体" w:eastAsia="宋体"/>
          <w:bCs/>
          <w:sz w:val="24"/>
        </w:rPr>
        <w:t>铭》记载了一则事件：</w:t>
      </w:r>
    </w:p>
    <w:p>
      <w:pPr>
        <w:spacing w:before="156" w:beforeLines="50" w:after="156" w:afterLines="50" w:line="360" w:lineRule="auto"/>
        <w:ind w:left="420" w:leftChars="200" w:firstLine="482"/>
        <w:rPr>
          <w:rFonts w:ascii="楷体" w:hAnsi="楷体" w:eastAsia="楷体"/>
          <w:sz w:val="24"/>
        </w:rPr>
      </w:pPr>
      <w:r>
        <w:rPr>
          <w:rFonts w:ascii="楷体" w:hAnsi="楷体" w:eastAsia="楷体"/>
          <w:sz w:val="24"/>
        </w:rPr>
        <w:t>贞观初，圣皇避暑甘泉，公主随傅京邑。载怀温清，有切晨昏，乃自□表起居，兼手缮写。圣皇览之，欣然以示元舅长孙无忌曰：“朕女年小，未多习学，词迹如此，足以□人。朕闻王羲之女字孟姜，颇工书艺，慕之为字，庶可齐踪。”因字曰孟姜，大加恩赏。仍令宫官善书者侍书，兼遣女师侍读。</w:t>
      </w:r>
      <w:r>
        <w:rPr>
          <w:rStyle w:val="10"/>
          <w:rFonts w:ascii="楷体" w:hAnsi="楷体" w:eastAsia="楷体"/>
          <w:sz w:val="24"/>
        </w:rPr>
        <w:footnoteReference w:id="19"/>
      </w:r>
    </w:p>
    <w:p>
      <w:pPr>
        <w:spacing w:line="360" w:lineRule="auto"/>
        <w:rPr>
          <w:rFonts w:ascii="宋体" w:hAnsi="宋体" w:eastAsia="宋体"/>
          <w:bCs/>
          <w:sz w:val="24"/>
        </w:rPr>
      </w:pPr>
      <w:r>
        <w:rPr>
          <w:rFonts w:ascii="宋体" w:hAnsi="宋体" w:eastAsia="宋体"/>
          <w:bCs/>
          <w:sz w:val="24"/>
        </w:rPr>
        <w:t>皇帝的恩宠</w:t>
      </w:r>
      <w:r>
        <w:rPr>
          <w:rFonts w:hint="eastAsia" w:ascii="宋体" w:hAnsi="宋体" w:eastAsia="宋体"/>
          <w:bCs/>
          <w:sz w:val="24"/>
        </w:rPr>
        <w:t>为李孟姜</w:t>
      </w:r>
      <w:r>
        <w:rPr>
          <w:rFonts w:ascii="宋体" w:hAnsi="宋体" w:eastAsia="宋体"/>
          <w:bCs/>
          <w:sz w:val="24"/>
        </w:rPr>
        <w:t>带来了</w:t>
      </w:r>
      <w:r>
        <w:rPr>
          <w:rFonts w:hint="eastAsia" w:ascii="宋体" w:hAnsi="宋体" w:eastAsia="宋体"/>
          <w:bCs/>
          <w:sz w:val="24"/>
        </w:rPr>
        <w:t>优质</w:t>
      </w:r>
      <w:r>
        <w:rPr>
          <w:rFonts w:ascii="宋体" w:hAnsi="宋体" w:eastAsia="宋体"/>
          <w:bCs/>
          <w:sz w:val="24"/>
        </w:rPr>
        <w:t>的教育</w:t>
      </w:r>
      <w:r>
        <w:rPr>
          <w:rFonts w:hint="eastAsia" w:ascii="宋体" w:hAnsi="宋体" w:eastAsia="宋体"/>
          <w:bCs/>
          <w:sz w:val="24"/>
        </w:rPr>
        <w:t>资源，而之前临川公主尽管“</w:t>
      </w:r>
      <w:r>
        <w:rPr>
          <w:rFonts w:ascii="宋体" w:hAnsi="宋体" w:eastAsia="宋体"/>
          <w:bCs/>
          <w:sz w:val="24"/>
        </w:rPr>
        <w:t>未多习学</w:t>
      </w:r>
      <w:r>
        <w:rPr>
          <w:rFonts w:hint="eastAsia" w:ascii="宋体" w:hAnsi="宋体" w:eastAsia="宋体"/>
          <w:bCs/>
          <w:sz w:val="24"/>
        </w:rPr>
        <w:t>”，也必已接受与其身份规制相符的宫廷教育，此后太宗又特派人员重点培养她练字、读书，更对提高其文化修养起到引导和促进的作用。据《旧唐书》记载，太宗之母太穆皇后</w:t>
      </w:r>
      <w:r>
        <w:rPr>
          <w:rFonts w:ascii="宋体" w:hAnsi="宋体" w:eastAsia="宋体"/>
          <w:bCs/>
          <w:sz w:val="24"/>
        </w:rPr>
        <w:t>工为篇章规诫</w:t>
      </w:r>
      <w:r>
        <w:rPr>
          <w:rFonts w:hint="eastAsia" w:ascii="宋体" w:hAnsi="宋体" w:eastAsia="宋体"/>
          <w:bCs/>
          <w:sz w:val="24"/>
        </w:rPr>
        <w:t>，</w:t>
      </w:r>
      <w:r>
        <w:rPr>
          <w:rFonts w:ascii="宋体" w:hAnsi="宋体" w:eastAsia="宋体"/>
          <w:bCs/>
          <w:sz w:val="24"/>
        </w:rPr>
        <w:t>文有雅体</w:t>
      </w:r>
      <w:r>
        <w:rPr>
          <w:rFonts w:hint="eastAsia" w:ascii="宋体" w:hAnsi="宋体" w:eastAsia="宋体"/>
          <w:bCs/>
          <w:sz w:val="24"/>
        </w:rPr>
        <w:t>，又善书</w:t>
      </w:r>
      <w:r>
        <w:rPr>
          <w:rStyle w:val="10"/>
          <w:rFonts w:hint="eastAsia" w:ascii="宋体" w:hAnsi="宋体" w:eastAsia="宋体"/>
          <w:bCs/>
          <w:sz w:val="24"/>
        </w:rPr>
        <w:footnoteReference w:id="20"/>
      </w:r>
      <w:r>
        <w:rPr>
          <w:rFonts w:hint="eastAsia" w:ascii="宋体" w:hAnsi="宋体" w:eastAsia="宋体"/>
          <w:bCs/>
          <w:sz w:val="24"/>
        </w:rPr>
        <w:t>，临川公主与窦后有同样的文学和书法才能，太宗尤为宠爱，或许也与窦后母仪的影响相关。</w:t>
      </w:r>
    </w:p>
    <w:p>
      <w:pPr>
        <w:spacing w:line="360" w:lineRule="auto"/>
        <w:ind w:firstLine="480" w:firstLineChars="200"/>
        <w:rPr>
          <w:rFonts w:ascii="宋体" w:hAnsi="宋体" w:eastAsia="宋体"/>
          <w:bCs/>
          <w:sz w:val="24"/>
        </w:rPr>
      </w:pPr>
      <w:r>
        <w:rPr>
          <w:rFonts w:hint="eastAsia" w:ascii="宋体" w:hAnsi="宋体" w:eastAsia="宋体"/>
          <w:sz w:val="24"/>
        </w:rPr>
        <w:t>文学家传则是后妃习得文学素质的主要机制，燕太妃碑志为世族母教情况提供了重要史料，其</w:t>
      </w:r>
      <w:r>
        <w:rPr>
          <w:rFonts w:ascii="宋体" w:hAnsi="宋体" w:eastAsia="宋体"/>
          <w:sz w:val="24"/>
        </w:rPr>
        <w:t>志</w:t>
      </w:r>
      <w:r>
        <w:rPr>
          <w:rFonts w:hint="eastAsia" w:ascii="宋体" w:hAnsi="宋体" w:eastAsia="宋体"/>
          <w:sz w:val="24"/>
        </w:rPr>
        <w:t>云：</w:t>
      </w:r>
    </w:p>
    <w:p>
      <w:pPr>
        <w:spacing w:before="156" w:beforeLines="50" w:after="156" w:afterLines="50" w:line="360" w:lineRule="auto"/>
        <w:ind w:left="420" w:leftChars="200" w:firstLine="480" w:firstLineChars="200"/>
        <w:rPr>
          <w:rFonts w:ascii="宋体" w:hAnsi="宋体" w:eastAsia="宋体"/>
          <w:sz w:val="24"/>
        </w:rPr>
      </w:pPr>
      <w:r>
        <w:rPr>
          <w:rFonts w:hint="eastAsia" w:ascii="楷体" w:hAnsi="楷体" w:eastAsia="楷体"/>
          <w:sz w:val="24"/>
        </w:rPr>
        <w:t>纂组缋其妍心，诗书文其婉袖。兄敬嗣时因禀训读上林赋</w:t>
      </w:r>
      <w:r>
        <w:rPr>
          <w:rFonts w:ascii="楷体" w:hAnsi="楷体" w:eastAsia="楷体"/>
          <w:sz w:val="24"/>
        </w:rPr>
        <w:t>于</w:t>
      </w:r>
      <w:r>
        <w:rPr>
          <w:rFonts w:hint="eastAsia" w:ascii="楷体" w:hAnsi="楷体" w:eastAsia="楷体"/>
          <w:sz w:val="24"/>
        </w:rPr>
        <w:t>前，太妃一览斯文，便诵数纸，太夫人善其聪令，抚而异之。年甫十三，香名逾振。家门舅族，戚里分华。襛艳蓁姝，降嫔接轸。遂复光膺礼命，召人后庭。</w:t>
      </w:r>
      <w:r>
        <w:rPr>
          <w:rFonts w:ascii="宋体" w:hAnsi="宋体" w:eastAsia="宋体"/>
          <w:sz w:val="24"/>
          <w:vertAlign w:val="superscript"/>
        </w:rPr>
        <w:footnoteReference w:id="21"/>
      </w:r>
    </w:p>
    <w:p>
      <w:pPr>
        <w:spacing w:line="360" w:lineRule="auto"/>
        <w:rPr>
          <w:rFonts w:ascii="宋体" w:hAnsi="宋体" w:eastAsia="宋体"/>
          <w:sz w:val="24"/>
        </w:rPr>
      </w:pPr>
      <w:r>
        <w:rPr>
          <w:rFonts w:hint="eastAsia" w:ascii="宋体" w:hAnsi="宋体" w:eastAsia="宋体"/>
          <w:sz w:val="24"/>
        </w:rPr>
        <w:t>这则材料中太夫人对燕氏才能的反应，充分展现其对燕氏教育的支持和鼓励，燕氏也因此了获得了一些名声。燕太妃碑志对其父宝寿语多隐晦，燕宝寿一生笼罩在父亲燕荣的赐死下场与政治恶名之下，因此仕宦不彰，又碑云：“</w:t>
      </w:r>
      <w:r>
        <w:rPr>
          <w:rFonts w:ascii="宋体" w:hAnsi="宋体" w:eastAsia="宋体"/>
          <w:sz w:val="24"/>
        </w:rPr>
        <w:t>年甫六岁，奄丧所天。每逼忌辰，悲号不食。至性之感，明灵为之遂通</w:t>
      </w:r>
      <w:r>
        <w:rPr>
          <w:rFonts w:hint="eastAsia" w:ascii="宋体" w:hAnsi="宋体" w:eastAsia="宋体"/>
          <w:sz w:val="24"/>
        </w:rPr>
        <w:t>；</w:t>
      </w:r>
      <w:r>
        <w:rPr>
          <w:rFonts w:ascii="宋体" w:hAnsi="宋体" w:eastAsia="宋体"/>
          <w:sz w:val="24"/>
        </w:rPr>
        <w:t>爱敬之方，闺门以之为镜。</w:t>
      </w:r>
      <w:r>
        <w:rPr>
          <w:rFonts w:hint="eastAsia" w:ascii="宋体" w:hAnsi="宋体" w:eastAsia="宋体"/>
          <w:sz w:val="24"/>
        </w:rPr>
        <w:t>”</w:t>
      </w:r>
      <w:r>
        <w:rPr>
          <w:rFonts w:ascii="宋体" w:hAnsi="宋体" w:eastAsia="宋体"/>
          <w:sz w:val="24"/>
          <w:vertAlign w:val="superscript"/>
        </w:rPr>
        <w:footnoteReference w:id="22"/>
      </w:r>
      <w:r>
        <w:rPr>
          <w:rFonts w:hint="eastAsia" w:ascii="宋体" w:hAnsi="宋体" w:eastAsia="宋体"/>
          <w:sz w:val="24"/>
        </w:rPr>
        <w:t>可知燕氏六岁</w:t>
      </w:r>
      <w:bookmarkStart w:id="1" w:name="OLE_LINK2"/>
      <w:r>
        <w:rPr>
          <w:rFonts w:hint="eastAsia" w:ascii="宋体" w:hAnsi="宋体" w:eastAsia="宋体"/>
          <w:sz w:val="24"/>
        </w:rPr>
        <w:t>失怙</w:t>
      </w:r>
      <w:bookmarkEnd w:id="1"/>
      <w:r>
        <w:rPr>
          <w:rFonts w:hint="eastAsia" w:ascii="宋体" w:hAnsi="宋体" w:eastAsia="宋体"/>
          <w:sz w:val="24"/>
        </w:rPr>
        <w:t>，对于燕氏的培养，也主要是由杨氏承担的，碑云：“</w:t>
      </w:r>
      <w:r>
        <w:rPr>
          <w:rFonts w:ascii="宋体" w:hAnsi="宋体" w:eastAsia="宋体"/>
          <w:sz w:val="24"/>
        </w:rPr>
        <w:t>太夫人杨氏……德高孟母，学冠曹妻。嘉妃幼敏，常谓人曰：</w:t>
      </w:r>
      <w:r>
        <w:rPr>
          <w:rFonts w:hint="eastAsia" w:ascii="宋体" w:hAnsi="宋体" w:eastAsia="宋体"/>
          <w:sz w:val="24"/>
        </w:rPr>
        <w:t>‘</w:t>
      </w:r>
      <w:r>
        <w:rPr>
          <w:rFonts w:ascii="宋体" w:hAnsi="宋体" w:eastAsia="宋体"/>
          <w:sz w:val="24"/>
        </w:rPr>
        <w:t>此女性理明惠，艺文该博，向使为男，当成国器。</w:t>
      </w:r>
      <w:r>
        <w:rPr>
          <w:rFonts w:hint="eastAsia" w:ascii="宋体" w:hAnsi="宋体" w:eastAsia="宋体"/>
          <w:sz w:val="24"/>
        </w:rPr>
        <w:t>’”</w:t>
      </w:r>
      <w:r>
        <w:rPr>
          <w:rFonts w:ascii="宋体" w:hAnsi="宋体" w:eastAsia="宋体"/>
          <w:sz w:val="24"/>
          <w:vertAlign w:val="superscript"/>
        </w:rPr>
        <w:footnoteReference w:id="23"/>
      </w:r>
      <w:r>
        <w:rPr>
          <w:rFonts w:hint="eastAsia" w:ascii="宋体" w:hAnsi="宋体" w:eastAsia="宋体"/>
          <w:sz w:val="24"/>
        </w:rPr>
        <w:t>将燕氏的母亲杨氏之“德”与“</w:t>
      </w:r>
      <w:r>
        <w:rPr>
          <w:rFonts w:ascii="宋体" w:hAnsi="宋体" w:eastAsia="宋体"/>
          <w:sz w:val="24"/>
        </w:rPr>
        <w:t>孟母</w:t>
      </w:r>
      <w:r>
        <w:rPr>
          <w:rFonts w:hint="eastAsia" w:ascii="宋体" w:hAnsi="宋体" w:eastAsia="宋体"/>
          <w:sz w:val="24"/>
        </w:rPr>
        <w:t>”作比，而孟母对孟子的教育正是其最彰显的德行；又将杨氏之“学”与“</w:t>
      </w:r>
      <w:r>
        <w:rPr>
          <w:rFonts w:ascii="宋体" w:hAnsi="宋体" w:eastAsia="宋体"/>
          <w:sz w:val="24"/>
        </w:rPr>
        <w:t>曹妻</w:t>
      </w:r>
      <w:r>
        <w:rPr>
          <w:rFonts w:hint="eastAsia" w:ascii="宋体" w:hAnsi="宋体" w:eastAsia="宋体"/>
          <w:sz w:val="24"/>
        </w:rPr>
        <w:t>”也即</w:t>
      </w:r>
      <w:r>
        <w:rPr>
          <w:rFonts w:ascii="宋体" w:hAnsi="宋体" w:eastAsia="宋体"/>
          <w:sz w:val="24"/>
        </w:rPr>
        <w:t>班昭</w:t>
      </w:r>
      <w:r>
        <w:rPr>
          <w:rFonts w:hint="eastAsia" w:ascii="宋体" w:hAnsi="宋体" w:eastAsia="宋体"/>
          <w:sz w:val="24"/>
        </w:rPr>
        <w:t>作比，可见杨氏本人很有才学。正是这样一位德才兼备的女性，对燕氏的文学养成起到了关键的影响。钱穆指出：“</w:t>
      </w:r>
      <w:r>
        <w:rPr>
          <w:rFonts w:ascii="宋体" w:hAnsi="宋体" w:eastAsia="宋体"/>
          <w:sz w:val="24"/>
        </w:rPr>
        <w:t>因尚孝友，而连带及于重女教。当时教育，主要在家门之内，兄弟姊妹宜无异视，故女子教育亦同等见重。当时人矜尚门第</w:t>
      </w:r>
      <w:r>
        <w:rPr>
          <w:rFonts w:hint="eastAsia" w:ascii="宋体" w:hAnsi="宋体" w:eastAsia="宋体"/>
          <w:sz w:val="24"/>
        </w:rPr>
        <w:t>，</w:t>
      </w:r>
      <w:r>
        <w:rPr>
          <w:rFonts w:ascii="宋体" w:hAnsi="宋体" w:eastAsia="宋体"/>
          <w:sz w:val="24"/>
        </w:rPr>
        <w:t>慎重婚姻……然平心论之，女子教育不同，则家风门规颇难维</w:t>
      </w:r>
      <w:r>
        <w:rPr>
          <w:rFonts w:hint="eastAsia" w:ascii="宋体" w:hAnsi="宋体" w:eastAsia="宋体"/>
          <w:sz w:val="24"/>
        </w:rPr>
        <w:t>持。此正当时门第所重，则慎重婚配，亦理所宜。而一时才女贤母，亦复史不绝书。”</w:t>
      </w:r>
      <w:r>
        <w:rPr>
          <w:rFonts w:ascii="宋体" w:hAnsi="宋体" w:eastAsia="宋体"/>
          <w:sz w:val="24"/>
          <w:vertAlign w:val="superscript"/>
        </w:rPr>
        <w:footnoteReference w:id="24"/>
      </w:r>
      <w:r>
        <w:rPr>
          <w:rFonts w:hint="eastAsia" w:ascii="宋体" w:hAnsi="宋体" w:eastAsia="宋体"/>
          <w:sz w:val="24"/>
        </w:rPr>
        <w:t>燕氏母亲出身于陈寅恪所谓“李武韦杨”婚姻集团的弘农杨氏，是</w:t>
      </w:r>
      <w:r>
        <w:rPr>
          <w:rFonts w:ascii="宋体" w:hAnsi="宋体" w:eastAsia="宋体"/>
          <w:sz w:val="24"/>
        </w:rPr>
        <w:t>隋观德王杨雄</w:t>
      </w:r>
      <w:r>
        <w:rPr>
          <w:rFonts w:hint="eastAsia" w:ascii="宋体" w:hAnsi="宋体" w:eastAsia="宋体"/>
          <w:sz w:val="24"/>
        </w:rPr>
        <w:t>的</w:t>
      </w:r>
      <w:r>
        <w:rPr>
          <w:rFonts w:ascii="宋体" w:hAnsi="宋体" w:eastAsia="宋体"/>
          <w:sz w:val="24"/>
        </w:rPr>
        <w:t>第三女</w:t>
      </w:r>
      <w:r>
        <w:rPr>
          <w:rFonts w:hint="eastAsia" w:ascii="宋体" w:hAnsi="宋体" w:eastAsia="宋体"/>
          <w:sz w:val="24"/>
        </w:rPr>
        <w:t>，杨雄本人“</w:t>
      </w:r>
      <w:r>
        <w:rPr>
          <w:rFonts w:ascii="宋体" w:hAnsi="宋体" w:eastAsia="宋体"/>
          <w:bCs/>
          <w:sz w:val="24"/>
        </w:rPr>
        <w:t>纬武经文</w:t>
      </w:r>
      <w:r>
        <w:rPr>
          <w:rFonts w:hint="eastAsia" w:ascii="宋体" w:hAnsi="宋体" w:eastAsia="宋体"/>
          <w:sz w:val="24"/>
        </w:rPr>
        <w:t>”</w:t>
      </w:r>
      <w:r>
        <w:rPr>
          <w:rFonts w:ascii="宋体" w:hAnsi="宋体" w:eastAsia="宋体"/>
          <w:sz w:val="24"/>
          <w:vertAlign w:val="superscript"/>
        </w:rPr>
        <w:footnoteReference w:id="25"/>
      </w:r>
      <w:r>
        <w:rPr>
          <w:rFonts w:hint="eastAsia" w:ascii="宋体" w:hAnsi="宋体" w:eastAsia="宋体"/>
          <w:sz w:val="24"/>
        </w:rPr>
        <w:t>，其诸子之中亦不乏文学显达者，如杨綝，《隋书·观德王雄传》载：“恭仁弟綝，性和厚，颇有文学。”</w:t>
      </w:r>
      <w:r>
        <w:rPr>
          <w:rFonts w:ascii="宋体" w:hAnsi="宋体" w:eastAsia="宋体"/>
          <w:sz w:val="24"/>
          <w:vertAlign w:val="superscript"/>
        </w:rPr>
        <w:footnoteReference w:id="26"/>
      </w:r>
      <w:r>
        <w:rPr>
          <w:rFonts w:hint="eastAsia" w:ascii="宋体" w:hAnsi="宋体" w:eastAsia="宋体"/>
          <w:sz w:val="24"/>
        </w:rPr>
        <w:t>又如杨师道，同样文学出众，并且热衷于在府邸举办文会活动，可见燕妃之母杨氏的文学修养与教育理念，与燕妃外祖父杨雄以来的家教传统密切相关。</w:t>
      </w:r>
    </w:p>
    <w:p>
      <w:pPr>
        <w:spacing w:line="360" w:lineRule="auto"/>
        <w:ind w:firstLine="480" w:firstLineChars="200"/>
        <w:rPr>
          <w:rFonts w:ascii="宋体" w:hAnsi="宋体" w:eastAsia="宋体"/>
          <w:sz w:val="24"/>
        </w:rPr>
      </w:pPr>
      <w:r>
        <w:rPr>
          <w:rFonts w:hint="eastAsia" w:ascii="宋体" w:hAnsi="宋体" w:eastAsia="宋体"/>
          <w:sz w:val="24"/>
        </w:rPr>
        <w:t>燕氏记诵《上林赋》事与徐惠幼年作</w:t>
      </w:r>
      <w:r>
        <w:rPr>
          <w:rFonts w:ascii="宋体" w:hAnsi="宋体" w:eastAsia="宋体"/>
          <w:sz w:val="24"/>
        </w:rPr>
        <w:t>《小山篇》</w:t>
      </w:r>
      <w:r>
        <w:rPr>
          <w:rFonts w:hint="eastAsia" w:ascii="宋体" w:hAnsi="宋体" w:eastAsia="宋体"/>
          <w:sz w:val="24"/>
        </w:rPr>
        <w:t>事呈现出高度的相似性，体现出初唐世家大族重视培养女性文学素养的风尚。关于</w:t>
      </w:r>
      <w:r>
        <w:rPr>
          <w:rFonts w:hint="eastAsia" w:ascii="宋体" w:hAnsi="宋体" w:eastAsia="宋体"/>
          <w:bCs/>
          <w:sz w:val="24"/>
        </w:rPr>
        <w:t>徐贤妃的文学家传，学界已经有较多的关注</w:t>
      </w:r>
      <w:r>
        <w:rPr>
          <w:rFonts w:ascii="宋体" w:hAnsi="宋体" w:eastAsia="宋体"/>
          <w:sz w:val="24"/>
          <w:vertAlign w:val="superscript"/>
        </w:rPr>
        <w:footnoteReference w:id="27"/>
      </w:r>
      <w:r>
        <w:rPr>
          <w:rFonts w:hint="eastAsia" w:ascii="宋体" w:hAnsi="宋体" w:eastAsia="宋体"/>
          <w:bCs/>
          <w:sz w:val="24"/>
        </w:rPr>
        <w:t>，</w:t>
      </w:r>
      <w:r>
        <w:rPr>
          <w:rFonts w:hint="eastAsia" w:ascii="宋体" w:hAnsi="宋体" w:eastAsia="宋体"/>
          <w:sz w:val="24"/>
        </w:rPr>
        <w:t>据</w:t>
      </w:r>
      <w:r>
        <w:rPr>
          <w:rFonts w:ascii="宋体" w:hAnsi="宋体" w:eastAsia="宋体"/>
          <w:sz w:val="24"/>
        </w:rPr>
        <w:t>《新唐书•徐贤妃传》</w:t>
      </w:r>
      <w:r>
        <w:rPr>
          <w:rFonts w:hint="eastAsia" w:ascii="宋体" w:hAnsi="宋体" w:eastAsia="宋体"/>
          <w:sz w:val="24"/>
        </w:rPr>
        <w:t>载</w:t>
      </w:r>
      <w:r>
        <w:rPr>
          <w:rFonts w:ascii="宋体" w:hAnsi="宋体" w:eastAsia="宋体"/>
          <w:sz w:val="24"/>
        </w:rPr>
        <w:t>：</w:t>
      </w:r>
    </w:p>
    <w:p>
      <w:pPr>
        <w:spacing w:before="156" w:beforeLines="50" w:after="156" w:afterLines="50" w:line="360" w:lineRule="auto"/>
        <w:ind w:left="420" w:leftChars="200" w:firstLine="480" w:firstLineChars="200"/>
        <w:rPr>
          <w:rFonts w:ascii="宋体" w:hAnsi="宋体" w:eastAsia="宋体"/>
          <w:sz w:val="24"/>
        </w:rPr>
      </w:pPr>
      <w:r>
        <w:rPr>
          <w:rFonts w:ascii="楷体" w:hAnsi="楷体" w:eastAsia="楷体"/>
          <w:sz w:val="24"/>
        </w:rPr>
        <w:t>生五月能言，四岁通《论语》《诗》，八岁自晓属文。父孝德，尝试使拟《离骚》为《小山篇》曰：“仰幽岩而流盼，抚桂枝以凝想。将千龄兮此遇，荃何为兮独往？”孝德大惊，知不可掩，于是所论</w:t>
      </w:r>
      <w:r>
        <w:rPr>
          <w:rFonts w:hint="eastAsia" w:ascii="楷体" w:hAnsi="楷体" w:eastAsia="楷体"/>
          <w:sz w:val="24"/>
        </w:rPr>
        <w:t>著</w:t>
      </w:r>
      <w:r>
        <w:rPr>
          <w:rFonts w:ascii="楷体" w:hAnsi="楷体" w:eastAsia="楷体"/>
          <w:sz w:val="24"/>
        </w:rPr>
        <w:t>遂盛传。太宗闻之，召为才人。</w:t>
      </w:r>
      <w:r>
        <w:rPr>
          <w:rFonts w:ascii="宋体" w:hAnsi="宋体" w:eastAsia="宋体"/>
          <w:sz w:val="24"/>
          <w:vertAlign w:val="superscript"/>
        </w:rPr>
        <w:footnoteReference w:id="28"/>
      </w:r>
    </w:p>
    <w:p>
      <w:pPr>
        <w:spacing w:line="360" w:lineRule="auto"/>
        <w:rPr>
          <w:rFonts w:ascii="宋体" w:hAnsi="宋体" w:eastAsia="宋体"/>
          <w:sz w:val="24"/>
        </w:rPr>
      </w:pPr>
      <w:r>
        <w:rPr>
          <w:rFonts w:hint="eastAsia" w:ascii="宋体" w:hAnsi="宋体" w:eastAsia="宋体"/>
          <w:sz w:val="24"/>
        </w:rPr>
        <w:t>这段叙述与《</w:t>
      </w:r>
      <w:r>
        <w:rPr>
          <w:rFonts w:ascii="宋体" w:hAnsi="宋体" w:eastAsia="宋体"/>
          <w:sz w:val="24"/>
        </w:rPr>
        <w:t>越国太妃燕氏墓志</w:t>
      </w:r>
      <w:r>
        <w:rPr>
          <w:rFonts w:hint="eastAsia" w:ascii="宋体" w:hAnsi="宋体" w:eastAsia="宋体"/>
          <w:sz w:val="24"/>
        </w:rPr>
        <w:t>》极为相似。燕、徐二家都重视培养子女的文学素质，徐惠和她的弟弟、妹妹从小就在浓厚的家学氛围中浸润和成长，长于文学的父亲能为她们提供更具针对性的专门培养，家庭成员之间的交流切磋，以及日常生活中的耳濡目染，都使徐妃获得更好的文学熏陶和锻炼，兄弟姐妹由是以才学和文名并称于时，并由此谋得了政治上的发展。再对比</w:t>
      </w:r>
      <w:r>
        <w:rPr>
          <w:rFonts w:ascii="宋体" w:hAnsi="宋体" w:eastAsia="宋体"/>
          <w:sz w:val="24"/>
        </w:rPr>
        <w:t>《新唐书•徐贤妃传》</w:t>
      </w:r>
      <w:r>
        <w:rPr>
          <w:rFonts w:hint="eastAsia" w:ascii="宋体" w:hAnsi="宋体" w:eastAsia="宋体"/>
          <w:sz w:val="24"/>
        </w:rPr>
        <w:t>与《</w:t>
      </w:r>
      <w:r>
        <w:rPr>
          <w:rFonts w:ascii="宋体" w:hAnsi="宋体" w:eastAsia="宋体"/>
          <w:sz w:val="24"/>
        </w:rPr>
        <w:t>越国太妃燕氏墓志</w:t>
      </w:r>
      <w:r>
        <w:rPr>
          <w:rFonts w:hint="eastAsia" w:ascii="宋体" w:hAnsi="宋体" w:eastAsia="宋体"/>
          <w:sz w:val="24"/>
        </w:rPr>
        <w:t>》，燕妃、徐妃同为太宗的妃子，两则材料均通过叙述幼年时家长试练女孩才能的小事，说明其天资或文才，而家长的反应或“异之”或“</w:t>
      </w:r>
      <w:r>
        <w:rPr>
          <w:rFonts w:ascii="宋体" w:hAnsi="宋体" w:eastAsia="宋体"/>
          <w:sz w:val="24"/>
        </w:rPr>
        <w:t>大惊</w:t>
      </w:r>
      <w:r>
        <w:rPr>
          <w:rFonts w:hint="eastAsia" w:ascii="宋体" w:hAnsi="宋体" w:eastAsia="宋体"/>
          <w:sz w:val="24"/>
        </w:rPr>
        <w:t>”，其后女孩小小年纪便“香名逾振”“</w:t>
      </w:r>
      <w:r>
        <w:rPr>
          <w:rFonts w:ascii="宋体" w:hAnsi="宋体" w:eastAsia="宋体"/>
          <w:sz w:val="24"/>
        </w:rPr>
        <w:t>论</w:t>
      </w:r>
      <w:r>
        <w:rPr>
          <w:rFonts w:hint="eastAsia" w:ascii="宋体" w:hAnsi="宋体" w:eastAsia="宋体"/>
          <w:sz w:val="24"/>
        </w:rPr>
        <w:t>著</w:t>
      </w:r>
      <w:r>
        <w:rPr>
          <w:rFonts w:ascii="宋体" w:hAnsi="宋体" w:eastAsia="宋体"/>
          <w:sz w:val="24"/>
        </w:rPr>
        <w:t>遂盛传</w:t>
      </w:r>
      <w:r>
        <w:rPr>
          <w:rFonts w:hint="eastAsia" w:ascii="宋体" w:hAnsi="宋体" w:eastAsia="宋体"/>
          <w:sz w:val="24"/>
        </w:rPr>
        <w:t>”，进而选入宫中。叙述上的雷同性恰反映出高门显宦普遍重视并鼓励女孩的文学修养，而与之相应的家庭教育则是达成这种素质的重要途径。这种社会现象的形成与宫廷的擢用要求有关，文学素质作为上层女性文化修养中的一项，在宫廷选妃的标准中是发挥一定作用的，如《</w:t>
      </w:r>
      <w:r>
        <w:rPr>
          <w:rFonts w:ascii="宋体" w:hAnsi="宋体" w:eastAsia="宋体"/>
          <w:sz w:val="24"/>
        </w:rPr>
        <w:t>西宫二品昭仪志铭</w:t>
      </w:r>
      <w:r>
        <w:rPr>
          <w:rFonts w:hint="eastAsia" w:ascii="宋体" w:hAnsi="宋体" w:eastAsia="宋体"/>
          <w:sz w:val="24"/>
        </w:rPr>
        <w:t>》即云：“</w:t>
      </w:r>
      <w:r>
        <w:rPr>
          <w:rFonts w:ascii="宋体" w:hAnsi="宋体" w:eastAsia="宋体"/>
          <w:sz w:val="24"/>
        </w:rPr>
        <w:t>体惠问于幽闲，班书比丽；蕴柔词于内训，蔡笔齐芳。故得擢自良家，言参椒掖</w:t>
      </w:r>
      <w:r>
        <w:rPr>
          <w:rFonts w:hint="eastAsia" w:ascii="宋体" w:hAnsi="宋体" w:eastAsia="宋体"/>
          <w:sz w:val="24"/>
        </w:rPr>
        <w:t>。”</w:t>
      </w:r>
      <w:r>
        <w:rPr>
          <w:rFonts w:ascii="宋体" w:hAnsi="宋体" w:eastAsia="宋体"/>
          <w:sz w:val="24"/>
          <w:vertAlign w:val="superscript"/>
        </w:rPr>
        <w:t xml:space="preserve"> </w:t>
      </w:r>
      <w:r>
        <w:rPr>
          <w:rFonts w:ascii="宋体" w:hAnsi="宋体" w:eastAsia="宋体"/>
          <w:sz w:val="24"/>
          <w:vertAlign w:val="superscript"/>
        </w:rPr>
        <w:footnoteReference w:id="29"/>
      </w:r>
      <w:r>
        <w:rPr>
          <w:rFonts w:hint="eastAsia" w:ascii="宋体" w:hAnsi="宋体" w:eastAsia="宋体"/>
          <w:sz w:val="24"/>
        </w:rPr>
        <w:t>其中便直言墓主的书法和文学才能是其被擢选的原因。无论是燕氏还是徐氏，她们之所以能够分别入选后宫进而带动家族兴起，很大程度上即得益于她们的文学才名，燕氏年甫十三就香名逾振，徐惠</w:t>
      </w:r>
      <w:r>
        <w:rPr>
          <w:rFonts w:ascii="宋体" w:hAnsi="宋体" w:eastAsia="宋体"/>
          <w:sz w:val="24"/>
        </w:rPr>
        <w:t>论</w:t>
      </w:r>
      <w:r>
        <w:rPr>
          <w:rFonts w:hint="eastAsia" w:ascii="宋体" w:hAnsi="宋体" w:eastAsia="宋体"/>
          <w:sz w:val="24"/>
        </w:rPr>
        <w:t>著少时便</w:t>
      </w:r>
      <w:r>
        <w:rPr>
          <w:rFonts w:ascii="宋体" w:hAnsi="宋体" w:eastAsia="宋体"/>
          <w:sz w:val="24"/>
        </w:rPr>
        <w:t>盛传</w:t>
      </w:r>
      <w:r>
        <w:rPr>
          <w:rFonts w:hint="eastAsia" w:ascii="宋体" w:hAnsi="宋体" w:eastAsia="宋体"/>
          <w:sz w:val="24"/>
        </w:rPr>
        <w:t>于时</w:t>
      </w:r>
      <w:r>
        <w:rPr>
          <w:rFonts w:ascii="宋体" w:hAnsi="宋体" w:eastAsia="宋体"/>
          <w:sz w:val="24"/>
        </w:rPr>
        <w:t>，</w:t>
      </w:r>
      <w:r>
        <w:rPr>
          <w:rFonts w:hint="eastAsia" w:ascii="宋体" w:hAnsi="宋体" w:eastAsia="宋体"/>
          <w:sz w:val="24"/>
        </w:rPr>
        <w:t>这些事情的情实已不可探知，但是两则案例同构性则提示我们，这种“香名”或许正是相关家族刻意打造和故意传扬的。</w:t>
      </w:r>
    </w:p>
    <w:p>
      <w:pPr>
        <w:spacing w:line="360" w:lineRule="auto"/>
        <w:ind w:firstLine="482" w:firstLineChars="200"/>
        <w:rPr>
          <w:rFonts w:ascii="宋体" w:hAnsi="宋体" w:eastAsia="宋体"/>
          <w:b/>
          <w:bCs/>
          <w:sz w:val="24"/>
        </w:rPr>
      </w:pPr>
      <w:r>
        <w:rPr>
          <w:rFonts w:hint="eastAsia" w:ascii="宋体" w:hAnsi="宋体" w:eastAsia="宋体"/>
          <w:b/>
          <w:bCs/>
          <w:sz w:val="24"/>
        </w:rPr>
        <w:t>（二）文学预政</w:t>
      </w:r>
    </w:p>
    <w:p>
      <w:pPr>
        <w:spacing w:line="360" w:lineRule="auto"/>
        <w:ind w:firstLine="480" w:firstLineChars="200"/>
        <w:rPr>
          <w:rFonts w:ascii="宋体" w:hAnsi="宋体" w:eastAsia="宋体"/>
          <w:bCs/>
          <w:sz w:val="24"/>
        </w:rPr>
      </w:pPr>
      <w:r>
        <w:rPr>
          <w:rFonts w:hint="eastAsia" w:ascii="宋体" w:hAnsi="宋体" w:eastAsia="宋体"/>
          <w:sz w:val="24"/>
        </w:rPr>
        <w:t>在私人圈域的抒情吟咏之外，文学有时也会成为宫廷女性的一种政治技能，展现出较强的应用属性。钱志熙指出：“</w:t>
      </w:r>
      <w:r>
        <w:rPr>
          <w:rFonts w:ascii="宋体" w:hAnsi="宋体" w:eastAsia="宋体"/>
          <w:sz w:val="24"/>
        </w:rPr>
        <w:t>初唐时代宫廷与贵族女性的诗歌创作，大致是南北朝贵族妇女文学风气的延续，应该将其放在南北朝至唐士族文学的机制中来研究。</w:t>
      </w:r>
      <w:r>
        <w:rPr>
          <w:rFonts w:hint="eastAsia" w:ascii="宋体" w:hAnsi="宋体" w:eastAsia="宋体"/>
          <w:sz w:val="24"/>
        </w:rPr>
        <w:t>”</w:t>
      </w:r>
      <w:r>
        <w:rPr>
          <w:rStyle w:val="10"/>
          <w:rFonts w:ascii="宋体" w:hAnsi="宋体" w:eastAsia="宋体"/>
          <w:bCs/>
          <w:sz w:val="24"/>
        </w:rPr>
        <w:footnoteReference w:id="30"/>
      </w:r>
      <w:r>
        <w:rPr>
          <w:rFonts w:hint="eastAsia" w:ascii="宋体" w:hAnsi="宋体" w:eastAsia="宋体"/>
          <w:sz w:val="24"/>
        </w:rPr>
        <w:t>据</w:t>
      </w:r>
      <w:r>
        <w:rPr>
          <w:rFonts w:ascii="宋体" w:hAnsi="宋体" w:eastAsia="宋体"/>
          <w:sz w:val="24"/>
        </w:rPr>
        <w:t>《新唐书•文德长孙皇后传》</w:t>
      </w:r>
      <w:r>
        <w:rPr>
          <w:rFonts w:hint="eastAsia" w:ascii="宋体" w:hAnsi="宋体" w:eastAsia="宋体"/>
          <w:sz w:val="24"/>
        </w:rPr>
        <w:t>载：“</w:t>
      </w:r>
      <w:r>
        <w:rPr>
          <w:rFonts w:ascii="宋体" w:hAnsi="宋体" w:eastAsia="宋体"/>
          <w:sz w:val="24"/>
        </w:rPr>
        <w:t>后尝采古妇人事著《女则》十篇，又为论斥汉之马后不能检抑外家，使与政事，乃戒其车马之侈，此谓开本源，恤末事</w:t>
      </w:r>
      <w:r>
        <w:rPr>
          <w:rFonts w:hint="eastAsia" w:ascii="宋体" w:hAnsi="宋体" w:eastAsia="宋体"/>
          <w:sz w:val="24"/>
        </w:rPr>
        <w:t>。</w:t>
      </w:r>
      <w:r>
        <w:rPr>
          <w:rFonts w:ascii="宋体" w:hAnsi="宋体" w:eastAsia="宋体"/>
          <w:sz w:val="24"/>
        </w:rPr>
        <w:t>”</w:t>
      </w:r>
      <w:r>
        <w:rPr>
          <w:rFonts w:ascii="宋体" w:hAnsi="宋体" w:eastAsia="宋体"/>
          <w:sz w:val="24"/>
          <w:vertAlign w:val="superscript"/>
        </w:rPr>
        <w:footnoteReference w:id="31"/>
      </w:r>
      <w:r>
        <w:rPr>
          <w:rFonts w:hint="eastAsia" w:ascii="宋体" w:hAnsi="宋体" w:eastAsia="宋体"/>
          <w:sz w:val="24"/>
        </w:rPr>
        <w:t>长孙皇后通过撰述行为参与对公共话题的讨论，此举也得到了太宗的肯定。而</w:t>
      </w:r>
      <w:r>
        <w:rPr>
          <w:rFonts w:hint="eastAsia" w:ascii="宋体" w:hAnsi="宋体" w:eastAsia="宋体"/>
          <w:bCs/>
          <w:sz w:val="24"/>
        </w:rPr>
        <w:t>徐贤妃更是文才卓著，“唐代正史所记载的三十几位后妃中，只有她的著述被引录。其本传采用了讲述唐代士人而非宫廷女性的叙事模式：关注的不是她并不出众的外貌，而是她的文学才华。”</w:t>
      </w:r>
      <w:r>
        <w:rPr>
          <w:rFonts w:ascii="宋体" w:hAnsi="宋体" w:eastAsia="宋体"/>
          <w:bCs/>
          <w:sz w:val="24"/>
          <w:vertAlign w:val="superscript"/>
        </w:rPr>
        <w:footnoteReference w:id="32"/>
      </w:r>
      <w:r>
        <w:rPr>
          <w:rFonts w:hint="eastAsia" w:ascii="宋体" w:hAnsi="宋体" w:eastAsia="宋体"/>
          <w:sz w:val="24"/>
        </w:rPr>
        <w:t>她曾撰《</w:t>
      </w:r>
      <w:r>
        <w:rPr>
          <w:rFonts w:ascii="宋体" w:hAnsi="宋体" w:eastAsia="宋体"/>
          <w:sz w:val="24"/>
        </w:rPr>
        <w:t>谏息兵罢役疏</w:t>
      </w:r>
      <w:r>
        <w:rPr>
          <w:rFonts w:hint="eastAsia" w:ascii="宋体" w:hAnsi="宋体" w:eastAsia="宋体"/>
          <w:sz w:val="24"/>
        </w:rPr>
        <w:t>》上言劝诫太宗，《新唐书》盛赞其“剀切精诣”</w:t>
      </w:r>
      <w:r>
        <w:rPr>
          <w:rFonts w:ascii="宋体" w:hAnsi="宋体" w:eastAsia="宋体"/>
          <w:sz w:val="24"/>
          <w:vertAlign w:val="superscript"/>
        </w:rPr>
        <w:footnoteReference w:id="33"/>
      </w:r>
      <w:r>
        <w:rPr>
          <w:rFonts w:hint="eastAsia" w:ascii="宋体" w:hAnsi="宋体" w:eastAsia="宋体"/>
          <w:sz w:val="24"/>
        </w:rPr>
        <w:t>，后人如叶适也赞其“词富理博，王勃不能逮也”</w:t>
      </w:r>
      <w:r>
        <w:rPr>
          <w:rFonts w:ascii="宋体" w:hAnsi="宋体" w:eastAsia="宋体"/>
          <w:sz w:val="24"/>
          <w:vertAlign w:val="superscript"/>
        </w:rPr>
        <w:footnoteReference w:id="34"/>
      </w:r>
      <w:r>
        <w:rPr>
          <w:rFonts w:hint="eastAsia" w:ascii="宋体" w:hAnsi="宋体" w:eastAsia="宋体"/>
          <w:sz w:val="24"/>
        </w:rPr>
        <w:t>，无论是在艺术性还是思想性上，都给出了极高的评价。后妃的文学预政行为是受到唐室鼓励的，一个较近的典范是前朝的</w:t>
      </w:r>
      <w:r>
        <w:rPr>
          <w:rFonts w:ascii="宋体" w:hAnsi="宋体" w:eastAsia="宋体"/>
          <w:bCs/>
          <w:sz w:val="24"/>
        </w:rPr>
        <w:t>萧皇后</w:t>
      </w:r>
      <w:r>
        <w:rPr>
          <w:rFonts w:hint="eastAsia" w:ascii="宋体" w:hAnsi="宋体" w:eastAsia="宋体"/>
          <w:sz w:val="24"/>
        </w:rPr>
        <w:t>，</w:t>
      </w:r>
      <w:r>
        <w:rPr>
          <w:rFonts w:hint="eastAsia" w:ascii="宋体" w:hAnsi="宋体" w:eastAsia="宋体"/>
          <w:bCs/>
          <w:sz w:val="24"/>
        </w:rPr>
        <w:t>《隋书·</w:t>
      </w:r>
      <w:r>
        <w:rPr>
          <w:rFonts w:ascii="宋体" w:hAnsi="宋体" w:eastAsia="宋体"/>
          <w:bCs/>
          <w:sz w:val="24"/>
        </w:rPr>
        <w:t>炀帝萧皇后</w:t>
      </w:r>
      <w:r>
        <w:rPr>
          <w:rFonts w:hint="eastAsia" w:ascii="宋体" w:hAnsi="宋体" w:eastAsia="宋体"/>
          <w:bCs/>
          <w:sz w:val="24"/>
        </w:rPr>
        <w:t>传》载：“</w:t>
      </w:r>
      <w:r>
        <w:rPr>
          <w:rFonts w:ascii="宋体" w:hAnsi="宋体" w:eastAsia="宋体"/>
          <w:bCs/>
          <w:sz w:val="24"/>
        </w:rPr>
        <w:t>帝每游幸，后未尝不随从。时后见帝失德，心知不可，不敢厝言，因为</w:t>
      </w:r>
      <w:r>
        <w:rPr>
          <w:rFonts w:hint="eastAsia" w:ascii="宋体" w:hAnsi="宋体" w:eastAsia="宋体"/>
          <w:bCs/>
          <w:sz w:val="24"/>
        </w:rPr>
        <w:t>《</w:t>
      </w:r>
      <w:r>
        <w:rPr>
          <w:rFonts w:ascii="宋体" w:hAnsi="宋体" w:eastAsia="宋体"/>
          <w:bCs/>
          <w:sz w:val="24"/>
        </w:rPr>
        <w:t>述志赋</w:t>
      </w:r>
      <w:r>
        <w:rPr>
          <w:rFonts w:hint="eastAsia" w:ascii="宋体" w:hAnsi="宋体" w:eastAsia="宋体"/>
          <w:bCs/>
          <w:sz w:val="24"/>
        </w:rPr>
        <w:t>》</w:t>
      </w:r>
      <w:r>
        <w:rPr>
          <w:rFonts w:ascii="宋体" w:hAnsi="宋体" w:eastAsia="宋体"/>
          <w:bCs/>
          <w:sz w:val="24"/>
        </w:rPr>
        <w:t>以自寄。</w:t>
      </w:r>
      <w:r>
        <w:rPr>
          <w:rFonts w:hint="eastAsia" w:ascii="宋体" w:hAnsi="宋体" w:eastAsia="宋体"/>
          <w:bCs/>
          <w:sz w:val="24"/>
        </w:rPr>
        <w:t>”</w:t>
      </w:r>
      <w:r>
        <w:rPr>
          <w:rFonts w:ascii="宋体" w:hAnsi="宋体" w:eastAsia="宋体"/>
          <w:bCs/>
          <w:sz w:val="24"/>
          <w:vertAlign w:val="superscript"/>
        </w:rPr>
        <w:footnoteReference w:id="35"/>
      </w:r>
      <w:r>
        <w:rPr>
          <w:rFonts w:hint="eastAsia" w:ascii="宋体" w:hAnsi="宋体" w:eastAsia="宋体"/>
          <w:bCs/>
          <w:sz w:val="24"/>
        </w:rPr>
        <w:t>虽然隋炀帝是亡国之君，但是</w:t>
      </w:r>
      <w:r>
        <w:rPr>
          <w:rFonts w:hint="eastAsia" w:ascii="宋体" w:hAnsi="宋体" w:eastAsia="宋体"/>
          <w:sz w:val="24"/>
        </w:rPr>
        <w:t>初唐的朝官文士却愿意将</w:t>
      </w:r>
      <w:r>
        <w:rPr>
          <w:rFonts w:ascii="宋体" w:hAnsi="宋体" w:eastAsia="宋体"/>
          <w:bCs/>
          <w:sz w:val="24"/>
        </w:rPr>
        <w:t>萧皇后</w:t>
      </w:r>
      <w:r>
        <w:rPr>
          <w:rFonts w:hint="eastAsia" w:ascii="宋体" w:hAnsi="宋体" w:eastAsia="宋体"/>
          <w:bCs/>
          <w:sz w:val="24"/>
        </w:rPr>
        <w:t>塑造为宫廷女性的典范，并充分肯定其以文学规劝隋帝的行</w:t>
      </w:r>
      <w:r>
        <w:rPr>
          <w:rFonts w:hint="eastAsia" w:ascii="宋体" w:hAnsi="宋体" w:eastAsia="宋体"/>
          <w:sz w:val="24"/>
        </w:rPr>
        <w:t>为。</w:t>
      </w:r>
      <w:r>
        <w:rPr>
          <w:rFonts w:hint="eastAsia" w:ascii="宋体" w:hAnsi="宋体" w:eastAsia="宋体"/>
          <w:bCs/>
          <w:sz w:val="24"/>
        </w:rPr>
        <w:t>长孙皇后、徐贤妃等文学预政，规谏太宗，统领后宫，满足了当时社会舆论对于皇帝后妃的期许，同时也起到了一定的表率作用。</w:t>
      </w:r>
    </w:p>
    <w:p>
      <w:pPr>
        <w:spacing w:line="360" w:lineRule="auto"/>
        <w:ind w:firstLine="480" w:firstLineChars="200"/>
        <w:rPr>
          <w:rFonts w:ascii="宋体" w:hAnsi="宋体" w:eastAsia="宋体"/>
          <w:bCs/>
          <w:sz w:val="24"/>
        </w:rPr>
      </w:pPr>
      <w:r>
        <w:rPr>
          <w:rFonts w:hint="eastAsia" w:ascii="宋体" w:hAnsi="宋体" w:eastAsia="宋体"/>
          <w:bCs/>
          <w:sz w:val="24"/>
        </w:rPr>
        <w:t>文学成为初唐宫廷女性进行政治表达和政治参与的一种媒介</w:t>
      </w:r>
      <w:r>
        <w:rPr>
          <w:rFonts w:hint="eastAsia" w:ascii="宋体" w:hAnsi="宋体" w:eastAsia="宋体"/>
          <w:sz w:val="24"/>
        </w:rPr>
        <w:t>，故她们的文学实绩具有了政治色彩和实用特征，</w:t>
      </w:r>
      <w:r>
        <w:rPr>
          <w:rFonts w:hint="eastAsia" w:ascii="宋体" w:hAnsi="宋体" w:eastAsia="宋体"/>
          <w:bCs/>
          <w:sz w:val="24"/>
        </w:rPr>
        <w:t>这在昭陵碑志中亦有例证。《大唐故临川郡长公主墓志铭》称李孟姜“</w:t>
      </w:r>
      <w:r>
        <w:rPr>
          <w:rFonts w:ascii="宋体" w:hAnsi="宋体" w:eastAsia="宋体"/>
          <w:bCs/>
          <w:sz w:val="24"/>
        </w:rPr>
        <w:t>涉艺穷远，观图尽秘</w:t>
      </w:r>
      <w:r>
        <w:rPr>
          <w:rFonts w:hint="eastAsia" w:ascii="宋体" w:hAnsi="宋体" w:eastAsia="宋体"/>
          <w:bCs/>
          <w:sz w:val="24"/>
        </w:rPr>
        <w:t>。</w:t>
      </w:r>
      <w:r>
        <w:rPr>
          <w:rFonts w:ascii="宋体" w:hAnsi="宋体" w:eastAsia="宋体"/>
          <w:bCs/>
          <w:sz w:val="24"/>
        </w:rPr>
        <w:t>露彩垂毫，泉华涌思</w:t>
      </w:r>
      <w:r>
        <w:rPr>
          <w:rFonts w:hint="eastAsia" w:ascii="宋体" w:hAnsi="宋体" w:eastAsia="宋体"/>
          <w:bCs/>
          <w:sz w:val="24"/>
        </w:rPr>
        <w:t>”，并举证事迹云：</w:t>
      </w:r>
    </w:p>
    <w:p>
      <w:pPr>
        <w:spacing w:before="156" w:beforeLines="50" w:after="156" w:afterLines="50" w:line="360" w:lineRule="auto"/>
        <w:ind w:left="420" w:leftChars="200" w:firstLine="480" w:firstLineChars="200"/>
        <w:rPr>
          <w:rFonts w:ascii="宋体" w:hAnsi="宋体" w:eastAsia="宋体"/>
          <w:sz w:val="24"/>
        </w:rPr>
      </w:pPr>
      <w:r>
        <w:rPr>
          <w:rFonts w:ascii="楷体" w:hAnsi="楷体" w:eastAsia="楷体"/>
          <w:sz w:val="24"/>
        </w:rPr>
        <w:t>天后孝彻明神，哀</w:t>
      </w:r>
      <w:r>
        <w:rPr>
          <w:rFonts w:hint="eastAsia" w:ascii="楷体" w:hAnsi="楷体" w:eastAsia="楷体"/>
          <w:sz w:val="24"/>
        </w:rPr>
        <w:t>缠</w:t>
      </w:r>
      <w:r>
        <w:rPr>
          <w:rFonts w:ascii="楷体" w:hAnsi="楷体" w:eastAsia="楷体"/>
          <w:sz w:val="24"/>
        </w:rPr>
        <w:t>圣善。仪形万国，感动四方。阴阳献惨，天地变色。公主创题嘉颂，光赞坤规。援笔斯成，排阍进上。</w:t>
      </w:r>
      <w:r>
        <w:rPr>
          <w:rFonts w:hint="eastAsia" w:ascii="楷体" w:hAnsi="楷体" w:eastAsia="楷体"/>
          <w:sz w:val="24"/>
        </w:rPr>
        <w:t>词</w:t>
      </w:r>
      <w:r>
        <w:rPr>
          <w:rFonts w:ascii="楷体" w:hAnsi="楷体" w:eastAsia="楷体"/>
          <w:sz w:val="24"/>
        </w:rPr>
        <w:t>符金石，思激风霜。天后览</w:t>
      </w:r>
      <w:r>
        <w:rPr>
          <w:rFonts w:hint="eastAsia" w:ascii="楷体" w:hAnsi="楷体" w:eastAsia="楷体"/>
          <w:sz w:val="24"/>
        </w:rPr>
        <w:t>奏</w:t>
      </w:r>
      <w:r>
        <w:rPr>
          <w:rFonts w:ascii="楷体" w:hAnsi="楷体" w:eastAsia="楷体"/>
          <w:sz w:val="24"/>
        </w:rPr>
        <w:t>兴哀，披文警虑。亲纡墨令，奖喻殷勤。圣札冠含章之文，英词助王姬之德。求之遂古，乃绝其伦。又天后曲降阴慈，载隆</w:t>
      </w:r>
      <w:r>
        <w:rPr>
          <w:rFonts w:hint="eastAsia" w:ascii="楷体" w:hAnsi="楷体" w:eastAsia="楷体"/>
          <w:sz w:val="24"/>
        </w:rPr>
        <w:t>□</w:t>
      </w:r>
      <w:r>
        <w:rPr>
          <w:rFonts w:ascii="楷体" w:hAnsi="楷体" w:eastAsia="楷体"/>
          <w:sz w:val="24"/>
        </w:rPr>
        <w:t>泽。翰垂八体，诗备五言。装成锦鄣，特赐公主。</w:t>
      </w:r>
      <w:r>
        <w:rPr>
          <w:rFonts w:hint="eastAsia" w:ascii="楷体" w:hAnsi="楷体" w:eastAsia="楷体"/>
          <w:sz w:val="24"/>
        </w:rPr>
        <w:t>阐</w:t>
      </w:r>
      <w:r>
        <w:rPr>
          <w:rFonts w:ascii="楷体" w:hAnsi="楷体" w:eastAsia="楷体"/>
          <w:sz w:val="24"/>
        </w:rPr>
        <w:t>扬嫔则，盛述</w:t>
      </w:r>
      <w:r>
        <w:rPr>
          <w:rFonts w:hint="eastAsia" w:ascii="楷体" w:hAnsi="楷体" w:eastAsia="楷体"/>
          <w:sz w:val="24"/>
        </w:rPr>
        <w:t>秾</w:t>
      </w:r>
      <w:r>
        <w:rPr>
          <w:rFonts w:ascii="楷体" w:hAnsi="楷体" w:eastAsia="楷体"/>
          <w:sz w:val="24"/>
        </w:rPr>
        <w:t>华。密勿承恩，皆此类也。</w:t>
      </w:r>
      <w:r>
        <w:rPr>
          <w:rFonts w:ascii="宋体" w:hAnsi="宋体" w:eastAsia="宋体"/>
          <w:sz w:val="24"/>
          <w:vertAlign w:val="superscript"/>
        </w:rPr>
        <w:footnoteReference w:id="36"/>
      </w:r>
    </w:p>
    <w:p>
      <w:pPr>
        <w:spacing w:line="360" w:lineRule="auto"/>
        <w:rPr>
          <w:rFonts w:ascii="宋体" w:hAnsi="宋体" w:eastAsia="宋体"/>
          <w:sz w:val="24"/>
        </w:rPr>
      </w:pPr>
      <w:r>
        <w:rPr>
          <w:rFonts w:hint="eastAsia" w:ascii="宋体" w:hAnsi="宋体" w:eastAsia="宋体"/>
          <w:sz w:val="24"/>
        </w:rPr>
        <w:t>所言“</w:t>
      </w:r>
      <w:r>
        <w:rPr>
          <w:rFonts w:ascii="宋体" w:hAnsi="宋体" w:eastAsia="宋体"/>
          <w:sz w:val="24"/>
        </w:rPr>
        <w:t>天后孝彻明神，哀缠圣善</w:t>
      </w:r>
      <w:r>
        <w:rPr>
          <w:rFonts w:hint="eastAsia" w:ascii="宋体" w:hAnsi="宋体" w:eastAsia="宋体"/>
          <w:sz w:val="24"/>
        </w:rPr>
        <w:t>”，盖指武则天之母荣国夫人杨氏去世之事，临川郡长公主献颂之事大致发生在咸亨元年（6</w:t>
      </w:r>
      <w:r>
        <w:rPr>
          <w:rFonts w:ascii="宋体" w:hAnsi="宋体" w:eastAsia="宋体"/>
          <w:sz w:val="24"/>
        </w:rPr>
        <w:t>70</w:t>
      </w:r>
      <w:r>
        <w:rPr>
          <w:rFonts w:hint="eastAsia" w:ascii="宋体" w:hAnsi="宋体" w:eastAsia="宋体"/>
          <w:sz w:val="24"/>
        </w:rPr>
        <w:t>）杨氏卒后。在当时的政治形势下，公主“</w:t>
      </w:r>
      <w:r>
        <w:rPr>
          <w:rFonts w:ascii="宋体" w:hAnsi="宋体" w:eastAsia="宋体"/>
          <w:sz w:val="24"/>
        </w:rPr>
        <w:t>创题嘉颂</w:t>
      </w:r>
      <w:r>
        <w:rPr>
          <w:rFonts w:hint="eastAsia" w:ascii="宋体" w:hAnsi="宋体" w:eastAsia="宋体"/>
          <w:sz w:val="24"/>
        </w:rPr>
        <w:t>”以“</w:t>
      </w:r>
      <w:r>
        <w:rPr>
          <w:rFonts w:ascii="宋体" w:hAnsi="宋体" w:eastAsia="宋体"/>
          <w:sz w:val="24"/>
        </w:rPr>
        <w:t>排阍进上</w:t>
      </w:r>
      <w:r>
        <w:rPr>
          <w:rFonts w:hint="eastAsia" w:ascii="宋体" w:hAnsi="宋体" w:eastAsia="宋体"/>
          <w:sz w:val="24"/>
        </w:rPr>
        <w:t>”，特意撰写颂文进献武后，而颂文旨在“</w:t>
      </w:r>
      <w:r>
        <w:rPr>
          <w:rFonts w:ascii="宋体" w:hAnsi="宋体" w:eastAsia="宋体"/>
          <w:sz w:val="24"/>
        </w:rPr>
        <w:t>光赞坤规</w:t>
      </w:r>
      <w:r>
        <w:rPr>
          <w:rFonts w:hint="eastAsia" w:ascii="宋体" w:hAnsi="宋体" w:eastAsia="宋体"/>
          <w:sz w:val="24"/>
        </w:rPr>
        <w:t>”，也即颂扬武后。武后“</w:t>
      </w:r>
      <w:r>
        <w:rPr>
          <w:rFonts w:ascii="宋体" w:hAnsi="宋体" w:eastAsia="宋体"/>
          <w:sz w:val="24"/>
        </w:rPr>
        <w:t>亲纡墨令，奖喻殷勤</w:t>
      </w:r>
      <w:r>
        <w:rPr>
          <w:rFonts w:hint="eastAsia" w:ascii="宋体" w:hAnsi="宋体" w:eastAsia="宋体"/>
          <w:sz w:val="24"/>
        </w:rPr>
        <w:t>”以为回应，不仅如此，武后之后还亲自创作和书写五言诗，装裱之后“</w:t>
      </w:r>
      <w:r>
        <w:rPr>
          <w:rFonts w:ascii="宋体" w:hAnsi="宋体" w:eastAsia="宋体"/>
          <w:sz w:val="24"/>
        </w:rPr>
        <w:t>特赐公主</w:t>
      </w:r>
      <w:r>
        <w:rPr>
          <w:rFonts w:hint="eastAsia" w:ascii="宋体" w:hAnsi="宋体" w:eastAsia="宋体"/>
          <w:sz w:val="24"/>
        </w:rPr>
        <w:t>”，再一次表达了对于临川郡长公主的高度肯定。</w:t>
      </w:r>
    </w:p>
    <w:p>
      <w:pPr>
        <w:spacing w:line="360" w:lineRule="auto"/>
        <w:ind w:firstLine="480" w:firstLineChars="200"/>
        <w:rPr>
          <w:rFonts w:ascii="宋体" w:hAnsi="宋体" w:eastAsia="宋体"/>
          <w:sz w:val="24"/>
        </w:rPr>
      </w:pPr>
      <w:r>
        <w:rPr>
          <w:rFonts w:hint="eastAsia" w:ascii="宋体" w:hAnsi="宋体" w:eastAsia="宋体"/>
          <w:sz w:val="24"/>
        </w:rPr>
        <w:t>临川郡长公主在荣国夫人去世的时间点上向武则天进献颂文，有明确的政治动因。</w:t>
      </w:r>
      <w:r>
        <w:rPr>
          <w:rFonts w:ascii="宋体" w:hAnsi="宋体" w:eastAsia="宋体"/>
          <w:sz w:val="24"/>
        </w:rPr>
        <w:t>《新唐书</w:t>
      </w:r>
      <w:r>
        <w:rPr>
          <w:rFonts w:hint="eastAsia" w:ascii="宋体" w:hAnsi="宋体" w:eastAsia="宋体"/>
          <w:sz w:val="24"/>
        </w:rPr>
        <w:t>·临川公主传</w:t>
      </w:r>
      <w:r>
        <w:rPr>
          <w:rFonts w:ascii="宋体" w:hAnsi="宋体" w:eastAsia="宋体"/>
          <w:sz w:val="24"/>
        </w:rPr>
        <w:t>》</w:t>
      </w:r>
      <w:r>
        <w:rPr>
          <w:rFonts w:hint="eastAsia" w:ascii="宋体" w:hAnsi="宋体" w:eastAsia="宋体"/>
          <w:sz w:val="24"/>
        </w:rPr>
        <w:t>另载一献颂之事</w:t>
      </w:r>
      <w:r>
        <w:rPr>
          <w:rFonts w:ascii="宋体" w:hAnsi="宋体" w:eastAsia="宋体"/>
          <w:sz w:val="24"/>
        </w:rPr>
        <w:t>：“高宗立，上《孝德颂》，帝下诏褒答。永徽初，进长公主，恩赏卓异</w:t>
      </w:r>
      <w:r>
        <w:rPr>
          <w:rFonts w:hint="eastAsia" w:ascii="宋体" w:hAnsi="宋体" w:eastAsia="宋体"/>
          <w:sz w:val="24"/>
        </w:rPr>
        <w:t>。”</w:t>
      </w:r>
      <w:r>
        <w:rPr>
          <w:rFonts w:ascii="宋体" w:hAnsi="宋体" w:eastAsia="宋体"/>
          <w:sz w:val="24"/>
          <w:vertAlign w:val="superscript"/>
        </w:rPr>
        <w:footnoteReference w:id="37"/>
      </w:r>
      <w:r>
        <w:rPr>
          <w:rFonts w:hint="eastAsia" w:ascii="宋体" w:hAnsi="宋体" w:eastAsia="宋体"/>
          <w:sz w:val="24"/>
        </w:rPr>
        <w:t>此事大致发生在高宗初立之时，此</w:t>
      </w:r>
      <w:r>
        <w:rPr>
          <w:rFonts w:ascii="宋体" w:hAnsi="宋体" w:eastAsia="宋体"/>
          <w:sz w:val="24"/>
        </w:rPr>
        <w:t>颂</w:t>
      </w:r>
      <w:r>
        <w:rPr>
          <w:rFonts w:hint="eastAsia" w:ascii="宋体" w:hAnsi="宋体" w:eastAsia="宋体"/>
          <w:sz w:val="24"/>
        </w:rPr>
        <w:t>大概是称颂高宗对于太宗尽孝的德行，这与其在荣国夫人去世时进献颂文的行文形成了呼应。已经有学者论及这两次上颂行为</w:t>
      </w:r>
      <w:r>
        <w:rPr>
          <w:rStyle w:val="10"/>
          <w:rFonts w:ascii="宋体" w:hAnsi="宋体" w:eastAsia="宋体"/>
          <w:sz w:val="24"/>
        </w:rPr>
        <w:footnoteReference w:id="38"/>
      </w:r>
      <w:r>
        <w:rPr>
          <w:rFonts w:hint="eastAsia" w:ascii="宋体" w:hAnsi="宋体" w:eastAsia="宋体"/>
          <w:sz w:val="24"/>
        </w:rPr>
        <w:t>，赵</w:t>
      </w:r>
      <w:r>
        <w:rPr>
          <w:rFonts w:ascii="宋体" w:hAnsi="宋体" w:eastAsia="宋体"/>
          <w:sz w:val="24"/>
        </w:rPr>
        <w:t>守俨</w:t>
      </w:r>
      <w:r>
        <w:rPr>
          <w:rFonts w:hint="eastAsia" w:ascii="宋体" w:hAnsi="宋体" w:eastAsia="宋体"/>
          <w:sz w:val="24"/>
        </w:rPr>
        <w:t>关注到临川郡长公主上颂给高宗与武后二事如出一辙，他还特别分析了墓志不载其向高宗献颂事的原因：“此文作于武则天掌握政权以后，根据当时的标准衡量，显然李孟姜给武则天上颂，‘天后’对她‘奖喻’，以及后来武则天对她的‘赐诗’，才最能够说明这位公主的‘密勿承恩’。</w:t>
      </w:r>
      <w:r>
        <w:rPr>
          <w:rFonts w:ascii="宋体" w:hAnsi="宋体" w:eastAsia="宋体"/>
          <w:sz w:val="24"/>
        </w:rPr>
        <w:t>……相形之下，志主和高宗的一段关系，反而显得无足轻重，于是就略而不谈。</w:t>
      </w:r>
      <w:r>
        <w:rPr>
          <w:rFonts w:hint="eastAsia" w:ascii="宋体" w:hAnsi="宋体" w:eastAsia="宋体"/>
          <w:sz w:val="24"/>
        </w:rPr>
        <w:t>”</w:t>
      </w:r>
      <w:r>
        <w:rPr>
          <w:rFonts w:hint="eastAsia" w:ascii="宋体" w:hAnsi="宋体" w:eastAsia="宋体"/>
          <w:sz w:val="24"/>
          <w:vertAlign w:val="superscript"/>
        </w:rPr>
        <w:footnoteReference w:id="39"/>
      </w:r>
      <w:r>
        <w:rPr>
          <w:rFonts w:hint="eastAsia" w:ascii="宋体" w:hAnsi="宋体" w:eastAsia="宋体"/>
          <w:sz w:val="24"/>
        </w:rPr>
        <w:t>结合李孟姜个人政治处境的变化可知其上颂的动机，临川郡长公主是</w:t>
      </w:r>
      <w:r>
        <w:rPr>
          <w:rFonts w:ascii="宋体" w:hAnsi="宋体" w:eastAsia="宋体"/>
          <w:sz w:val="24"/>
        </w:rPr>
        <w:t>纪国太妃</w:t>
      </w:r>
      <w:r>
        <w:rPr>
          <w:rFonts w:hint="eastAsia" w:ascii="宋体" w:hAnsi="宋体" w:eastAsia="宋体"/>
          <w:sz w:val="24"/>
        </w:rPr>
        <w:t>韦圭之女，太妃原本是公主的政治靠山，作为太宗遗孀，高宗与武后对太妃都十分尊重，太妃本将以尊长身份参与泰山封禅，却薨于封禅之前，此后临川郡长公主在宫中便失去了一个重要的政治依靠。相较而言，武则天临朝听政，与高宗并称“二圣”，又代替</w:t>
      </w:r>
      <w:r>
        <w:rPr>
          <w:rFonts w:ascii="宋体" w:hAnsi="宋体" w:eastAsia="宋体"/>
          <w:sz w:val="24"/>
        </w:rPr>
        <w:t>纪国太妃</w:t>
      </w:r>
      <w:r>
        <w:rPr>
          <w:rFonts w:hint="eastAsia" w:ascii="宋体" w:hAnsi="宋体" w:eastAsia="宋体"/>
          <w:sz w:val="24"/>
        </w:rPr>
        <w:t>，以仅次于高宗的“亚献”的身份参与泰山封禅，</w:t>
      </w:r>
      <w:r>
        <w:rPr>
          <w:rFonts w:ascii="宋体" w:hAnsi="宋体" w:eastAsia="宋体"/>
          <w:sz w:val="24"/>
        </w:rPr>
        <w:t>乾封二年（667）</w:t>
      </w:r>
      <w:r>
        <w:rPr>
          <w:rFonts w:hint="eastAsia" w:ascii="宋体" w:hAnsi="宋体" w:eastAsia="宋体"/>
          <w:sz w:val="24"/>
        </w:rPr>
        <w:t>，随着高宗命太子监国，武则天的权势更是迅速扩大。</w:t>
      </w:r>
      <w:r>
        <w:rPr>
          <w:rFonts w:ascii="宋体" w:hAnsi="宋体" w:eastAsia="宋体"/>
          <w:sz w:val="24"/>
        </w:rPr>
        <w:t>在</w:t>
      </w:r>
      <w:r>
        <w:rPr>
          <w:rFonts w:hint="eastAsia" w:ascii="宋体" w:hAnsi="宋体" w:eastAsia="宋体"/>
          <w:sz w:val="24"/>
        </w:rPr>
        <w:t>当时的</w:t>
      </w:r>
      <w:r>
        <w:rPr>
          <w:rFonts w:ascii="宋体" w:hAnsi="宋体" w:eastAsia="宋体"/>
          <w:sz w:val="24"/>
        </w:rPr>
        <w:t>政治形势之下，</w:t>
      </w:r>
      <w:r>
        <w:rPr>
          <w:rFonts w:hint="eastAsia" w:ascii="宋体" w:hAnsi="宋体" w:eastAsia="宋体"/>
          <w:sz w:val="24"/>
        </w:rPr>
        <w:t>临川郡长公主敏锐地把握住武后居丧的时机，通过献颂的行为向她表达支持，而武后则欣然与之形成互动，文学充当了这两位宫廷女性巩固信赖关系的沟通渠道。同样是在政治形势发生重大变化的情况下，临川郡公主通过上颂的方式获得</w:t>
      </w:r>
      <w:r>
        <w:rPr>
          <w:rFonts w:ascii="宋体" w:hAnsi="宋体" w:eastAsia="宋体"/>
          <w:sz w:val="24"/>
        </w:rPr>
        <w:t>卓异</w:t>
      </w:r>
      <w:r>
        <w:rPr>
          <w:rFonts w:hint="eastAsia" w:ascii="宋体" w:hAnsi="宋体" w:eastAsia="宋体"/>
          <w:sz w:val="24"/>
        </w:rPr>
        <w:t>的恩赏，可见文学预政是其惯用的政治手段。近年出土于献陵的《</w:t>
      </w:r>
      <w:r>
        <w:rPr>
          <w:rFonts w:ascii="宋体" w:hAnsi="宋体" w:eastAsia="宋体"/>
          <w:sz w:val="24"/>
        </w:rPr>
        <w:t>淮南大长公主墓志</w:t>
      </w:r>
      <w:r>
        <w:rPr>
          <w:rFonts w:hint="eastAsia" w:ascii="宋体" w:hAnsi="宋体" w:eastAsia="宋体"/>
          <w:sz w:val="24"/>
        </w:rPr>
        <w:t>》记述了淮南大长公主在两次宴席上的即兴创作，歌词提及“二圣”</w:t>
      </w:r>
      <w:r>
        <w:rPr>
          <w:rStyle w:val="10"/>
          <w:rFonts w:hint="eastAsia" w:ascii="宋体" w:hAnsi="宋体" w:eastAsia="宋体"/>
          <w:sz w:val="24"/>
        </w:rPr>
        <w:footnoteReference w:id="40"/>
      </w:r>
      <w:r>
        <w:rPr>
          <w:rFonts w:hint="eastAsia" w:ascii="宋体" w:hAnsi="宋体" w:eastAsia="宋体"/>
          <w:sz w:val="24"/>
        </w:rPr>
        <w:t>一词，同样借机表达了对武后的尊崇。两位长公主的文学活动，都与武则天引领的宫廷氛围有关，皇后母仪天下，其文学兴趣客观上带动了宫廷女性在政治与文化上的活跃，宫廷女性也乐于施展文学才能，表达忠诚或孝敬，从而博取武后的欢心。</w:t>
      </w:r>
    </w:p>
    <w:p>
      <w:pPr>
        <w:spacing w:line="360" w:lineRule="auto"/>
        <w:ind w:firstLine="480" w:firstLineChars="200"/>
        <w:rPr>
          <w:rFonts w:ascii="宋体" w:hAnsi="宋体" w:eastAsia="宋体"/>
          <w:sz w:val="24"/>
        </w:rPr>
      </w:pPr>
      <w:r>
        <w:rPr>
          <w:rFonts w:hint="eastAsia" w:ascii="宋体" w:hAnsi="宋体" w:eastAsia="宋体"/>
          <w:sz w:val="24"/>
        </w:rPr>
        <w:t>初唐宫廷女性群体中长期以来都蛰伏着一股文学驱动力量，成为上层文学的一脉潜流。</w:t>
      </w:r>
      <w:r>
        <w:rPr>
          <w:rFonts w:ascii="宋体" w:hAnsi="宋体" w:eastAsia="宋体"/>
          <w:sz w:val="24"/>
        </w:rPr>
        <w:t>“初唐四十年的女性专权粗看似乎是中国历史上的一个特殊时期……唐代文人对文学的巨大热情，均是由这一时期的女性统治者促成的。因此当时的宫廷文学虽然呈现出‘浮靡’的总体倾向，但从长远来看，却是盛唐诗歌高潮到来的一个前兆。”</w:t>
      </w:r>
      <w:r>
        <w:rPr>
          <w:rStyle w:val="10"/>
          <w:rFonts w:ascii="宋体" w:hAnsi="宋体" w:eastAsia="宋体"/>
          <w:sz w:val="24"/>
        </w:rPr>
        <w:footnoteReference w:id="41"/>
      </w:r>
      <w:r>
        <w:rPr>
          <w:rFonts w:hint="eastAsia" w:ascii="宋体" w:hAnsi="宋体" w:eastAsia="宋体"/>
          <w:sz w:val="24"/>
        </w:rPr>
        <w:t>其实在女性专权之前，文学就是后妃、公主参与政治、发挥影响的重要手段，而武后重文亦非后宫的特例，从</w:t>
      </w:r>
      <w:r>
        <w:rPr>
          <w:rFonts w:ascii="宋体" w:hAnsi="宋体" w:eastAsia="宋体"/>
          <w:sz w:val="24"/>
        </w:rPr>
        <w:t>窦</w:t>
      </w:r>
      <w:r>
        <w:rPr>
          <w:rFonts w:hint="eastAsia" w:ascii="宋体" w:hAnsi="宋体" w:eastAsia="宋体"/>
          <w:sz w:val="24"/>
        </w:rPr>
        <w:t>太</w:t>
      </w:r>
      <w:r>
        <w:rPr>
          <w:rFonts w:ascii="宋体" w:hAnsi="宋体" w:eastAsia="宋体"/>
          <w:sz w:val="24"/>
        </w:rPr>
        <w:t>后到长孙皇后</w:t>
      </w:r>
      <w:r>
        <w:rPr>
          <w:rFonts w:hint="eastAsia" w:ascii="宋体" w:hAnsi="宋体" w:eastAsia="宋体"/>
          <w:sz w:val="24"/>
        </w:rPr>
        <w:t>、徐妃，</w:t>
      </w:r>
      <w:r>
        <w:rPr>
          <w:rFonts w:ascii="宋体" w:hAnsi="宋体" w:eastAsia="宋体"/>
          <w:sz w:val="24"/>
        </w:rPr>
        <w:t>初唐</w:t>
      </w:r>
      <w:r>
        <w:rPr>
          <w:rFonts w:hint="eastAsia" w:ascii="宋体" w:hAnsi="宋体" w:eastAsia="宋体"/>
          <w:sz w:val="24"/>
        </w:rPr>
        <w:t>这些</w:t>
      </w:r>
      <w:r>
        <w:rPr>
          <w:rFonts w:ascii="宋体" w:hAnsi="宋体" w:eastAsia="宋体"/>
          <w:sz w:val="24"/>
        </w:rPr>
        <w:t>重要的帝后</w:t>
      </w:r>
      <w:r>
        <w:rPr>
          <w:rFonts w:hint="eastAsia" w:ascii="宋体" w:hAnsi="宋体" w:eastAsia="宋体"/>
          <w:sz w:val="24"/>
        </w:rPr>
        <w:t>大多具备基本的甚至突出的</w:t>
      </w:r>
      <w:r>
        <w:rPr>
          <w:rFonts w:ascii="宋体" w:hAnsi="宋体" w:eastAsia="宋体"/>
          <w:sz w:val="24"/>
        </w:rPr>
        <w:t>文学才能，作为唐朝建国以来举国瞩目的女性楷模，其言行偏好的表率作用影响深远</w:t>
      </w:r>
      <w:r>
        <w:rPr>
          <w:rFonts w:hint="eastAsia" w:ascii="宋体" w:hAnsi="宋体" w:eastAsia="宋体"/>
          <w:sz w:val="24"/>
        </w:rPr>
        <w:t>。后妃</w:t>
      </w:r>
      <w:r>
        <w:rPr>
          <w:rFonts w:ascii="宋体" w:hAnsi="宋体" w:eastAsia="宋体"/>
          <w:sz w:val="24"/>
        </w:rPr>
        <w:t>的文学实践推动了宫廷文学氛围的形成，</w:t>
      </w:r>
      <w:r>
        <w:rPr>
          <w:rFonts w:hint="eastAsia" w:ascii="宋体" w:hAnsi="宋体" w:eastAsia="宋体"/>
          <w:sz w:val="24"/>
        </w:rPr>
        <w:t>太宗诸后妃开其端绪，并形成影响，</w:t>
      </w:r>
      <w:r>
        <w:rPr>
          <w:rFonts w:ascii="宋体" w:hAnsi="宋体" w:eastAsia="宋体"/>
          <w:sz w:val="24"/>
        </w:rPr>
        <w:t>特别是一些才能出众的宫廷女性，她们发挥自己的文学才能，积极参与到政治生活之中，</w:t>
      </w:r>
      <w:r>
        <w:rPr>
          <w:rFonts w:hint="eastAsia" w:ascii="宋体" w:hAnsi="宋体" w:eastAsia="宋体"/>
          <w:sz w:val="24"/>
        </w:rPr>
        <w:t>随着武则天掌权，上官婉儿施展影响，部分宫廷女性实现了从以文预政到引领文坛、政坛的重要转变，而这股文学潜流也最终成为了影响唐代命运走向的一种推动力量。</w:t>
      </w:r>
    </w:p>
    <w:p>
      <w:pPr>
        <w:spacing w:before="156" w:beforeLines="50" w:after="156" w:afterLines="50" w:line="360" w:lineRule="auto"/>
        <w:jc w:val="center"/>
        <w:rPr>
          <w:rFonts w:ascii="宋体" w:hAnsi="宋体" w:eastAsia="宋体"/>
          <w:b/>
          <w:bCs/>
          <w:sz w:val="28"/>
          <w:szCs w:val="28"/>
        </w:rPr>
      </w:pPr>
      <w:r>
        <w:rPr>
          <w:rFonts w:hint="eastAsia" w:ascii="宋体" w:hAnsi="宋体" w:eastAsia="宋体"/>
          <w:b/>
          <w:bCs/>
          <w:sz w:val="28"/>
          <w:szCs w:val="28"/>
        </w:rPr>
        <w:t>三、</w:t>
      </w:r>
      <w:r>
        <w:rPr>
          <w:rFonts w:ascii="宋体" w:hAnsi="宋体" w:eastAsia="宋体"/>
          <w:b/>
          <w:bCs/>
          <w:sz w:val="28"/>
          <w:szCs w:val="28"/>
        </w:rPr>
        <w:t>衔结政教权力的</w:t>
      </w:r>
      <w:r>
        <w:rPr>
          <w:rFonts w:hint="eastAsia" w:ascii="宋体" w:hAnsi="宋体" w:eastAsia="宋体"/>
          <w:b/>
          <w:bCs/>
          <w:sz w:val="28"/>
          <w:szCs w:val="28"/>
        </w:rPr>
        <w:t>则天遗文</w:t>
      </w:r>
    </w:p>
    <w:p>
      <w:pPr>
        <w:spacing w:line="360" w:lineRule="auto"/>
        <w:ind w:firstLine="480" w:firstLineChars="200"/>
        <w:rPr>
          <w:rFonts w:ascii="宋体" w:hAnsi="宋体" w:eastAsia="宋体"/>
          <w:sz w:val="24"/>
        </w:rPr>
      </w:pPr>
      <w:r>
        <w:rPr>
          <w:rFonts w:hint="eastAsia" w:ascii="宋体" w:hAnsi="宋体" w:eastAsia="宋体"/>
          <w:sz w:val="24"/>
        </w:rPr>
        <w:t>文学是宫廷女性表达政治观点、参与政治运作的重要媒介，对此我们不仅可以从碑志记载的史事方面切入考察，还可以依托碑石所保存的女性遗文，从作品方面进行专案探讨。《越国太妃燕氏碑》载有两篇涉佛铭文，这是此碑全文转引的，而非碑文撰者所作，关</w:t>
      </w:r>
      <w:r>
        <w:rPr>
          <w:rFonts w:ascii="宋体" w:hAnsi="宋体" w:eastAsia="宋体"/>
          <w:sz w:val="24"/>
        </w:rPr>
        <w:t>于铭文作者</w:t>
      </w:r>
      <w:r>
        <w:rPr>
          <w:rFonts w:hint="eastAsia" w:ascii="宋体" w:hAnsi="宋体" w:eastAsia="宋体"/>
          <w:sz w:val="24"/>
        </w:rPr>
        <w:t>，</w:t>
      </w:r>
      <w:r>
        <w:rPr>
          <w:rFonts w:ascii="宋体" w:hAnsi="宋体" w:eastAsia="宋体"/>
          <w:sz w:val="24"/>
        </w:rPr>
        <w:t>细察碑</w:t>
      </w:r>
      <w:r>
        <w:rPr>
          <w:rFonts w:hint="eastAsia" w:ascii="宋体" w:hAnsi="宋体" w:eastAsia="宋体"/>
          <w:sz w:val="24"/>
        </w:rPr>
        <w:t>文</w:t>
      </w:r>
      <w:r>
        <w:rPr>
          <w:rFonts w:ascii="宋体" w:hAnsi="宋体" w:eastAsia="宋体"/>
          <w:sz w:val="24"/>
        </w:rPr>
        <w:t>，第一篇是“中宫特为造绣无量寿像，神笔御铭，绣于座下”</w:t>
      </w:r>
      <w:r>
        <w:rPr>
          <w:rFonts w:ascii="宋体" w:hAnsi="宋体" w:eastAsia="宋体"/>
          <w:sz w:val="24"/>
          <w:vertAlign w:val="superscript"/>
        </w:rPr>
        <w:footnoteReference w:id="42"/>
      </w:r>
      <w:r>
        <w:rPr>
          <w:rFonts w:ascii="宋体" w:hAnsi="宋体" w:eastAsia="宋体"/>
          <w:sz w:val="24"/>
        </w:rPr>
        <w:t>，第二篇是“皇后为造□□□□神笔制铭，绣其座下”</w:t>
      </w:r>
      <w:r>
        <w:rPr>
          <w:rFonts w:ascii="宋体" w:hAnsi="宋体" w:eastAsia="宋体"/>
          <w:sz w:val="24"/>
          <w:vertAlign w:val="superscript"/>
        </w:rPr>
        <w:footnoteReference w:id="43"/>
      </w:r>
      <w:r>
        <w:rPr>
          <w:rFonts w:hint="eastAsia" w:ascii="宋体" w:hAnsi="宋体" w:eastAsia="宋体"/>
          <w:sz w:val="24"/>
        </w:rPr>
        <w:t>前者</w:t>
      </w:r>
      <w:r>
        <w:rPr>
          <w:rFonts w:ascii="宋体" w:hAnsi="宋体" w:eastAsia="宋体"/>
          <w:sz w:val="24"/>
        </w:rPr>
        <w:t>用“御”字，</w:t>
      </w:r>
      <w:r>
        <w:rPr>
          <w:rFonts w:hint="eastAsia" w:ascii="宋体" w:hAnsi="宋体" w:eastAsia="宋体"/>
          <w:sz w:val="24"/>
        </w:rPr>
        <w:t>则需要考虑是否为高宗所作。燕太妃与武后为</w:t>
      </w:r>
      <w:r>
        <w:rPr>
          <w:rFonts w:ascii="宋体" w:hAnsi="宋体" w:eastAsia="宋体"/>
          <w:sz w:val="24"/>
        </w:rPr>
        <w:t>表亲</w:t>
      </w:r>
      <w:r>
        <w:rPr>
          <w:rFonts w:hint="eastAsia" w:ascii="宋体" w:hAnsi="宋体" w:eastAsia="宋体"/>
          <w:sz w:val="24"/>
        </w:rPr>
        <w:t>，晚年随子</w:t>
      </w:r>
      <w:r>
        <w:rPr>
          <w:rFonts w:ascii="宋体" w:hAnsi="宋体" w:eastAsia="宋体"/>
          <w:sz w:val="24"/>
        </w:rPr>
        <w:t>李贞</w:t>
      </w:r>
      <w:r>
        <w:rPr>
          <w:rFonts w:hint="eastAsia" w:ascii="宋体" w:hAnsi="宋体" w:eastAsia="宋体"/>
          <w:sz w:val="24"/>
        </w:rPr>
        <w:t>移居</w:t>
      </w:r>
      <w:r>
        <w:rPr>
          <w:rFonts w:ascii="宋体" w:hAnsi="宋体" w:eastAsia="宋体"/>
          <w:sz w:val="24"/>
        </w:rPr>
        <w:t>藩地</w:t>
      </w:r>
      <w:r>
        <w:rPr>
          <w:rFonts w:hint="eastAsia" w:ascii="宋体" w:hAnsi="宋体" w:eastAsia="宋体"/>
          <w:sz w:val="24"/>
        </w:rPr>
        <w:t>，咸亨二年（6</w:t>
      </w:r>
      <w:r>
        <w:rPr>
          <w:rFonts w:ascii="宋体" w:hAnsi="宋体" w:eastAsia="宋体"/>
          <w:sz w:val="24"/>
        </w:rPr>
        <w:t>71</w:t>
      </w:r>
      <w:r>
        <w:rPr>
          <w:rFonts w:hint="eastAsia" w:ascii="宋体" w:hAnsi="宋体" w:eastAsia="宋体"/>
          <w:sz w:val="24"/>
        </w:rPr>
        <w:t>），武后母杨氏祭日周年将至</w:t>
      </w:r>
      <w:r>
        <w:rPr>
          <w:rStyle w:val="10"/>
          <w:rFonts w:ascii="宋体" w:hAnsi="宋体" w:eastAsia="宋体"/>
          <w:sz w:val="24"/>
        </w:rPr>
        <w:footnoteReference w:id="44"/>
      </w:r>
      <w:r>
        <w:rPr>
          <w:rFonts w:hint="eastAsia" w:ascii="宋体" w:hAnsi="宋体" w:eastAsia="宋体"/>
          <w:sz w:val="24"/>
        </w:rPr>
        <w:t>，燕氏便</w:t>
      </w:r>
      <w:r>
        <w:rPr>
          <w:rFonts w:ascii="宋体" w:hAnsi="宋体" w:eastAsia="宋体"/>
          <w:sz w:val="24"/>
        </w:rPr>
        <w:t>赴东都</w:t>
      </w:r>
      <w:r>
        <w:rPr>
          <w:rFonts w:hint="eastAsia" w:ascii="宋体" w:hAnsi="宋体" w:eastAsia="宋体"/>
          <w:sz w:val="24"/>
        </w:rPr>
        <w:t>以</w:t>
      </w:r>
      <w:r>
        <w:rPr>
          <w:rFonts w:ascii="宋体" w:hAnsi="宋体" w:eastAsia="宋体"/>
          <w:sz w:val="24"/>
        </w:rPr>
        <w:t>申哀喭</w:t>
      </w:r>
      <w:r>
        <w:rPr>
          <w:rFonts w:hint="eastAsia" w:ascii="宋体" w:hAnsi="宋体" w:eastAsia="宋体"/>
          <w:sz w:val="24"/>
        </w:rPr>
        <w:t>，结果途</w:t>
      </w:r>
      <w:r>
        <w:rPr>
          <w:rFonts w:ascii="宋体" w:hAnsi="宋体" w:eastAsia="宋体"/>
          <w:sz w:val="24"/>
        </w:rPr>
        <w:t>中感</w:t>
      </w:r>
      <w:r>
        <w:rPr>
          <w:rFonts w:hint="eastAsia" w:ascii="宋体" w:hAnsi="宋体" w:eastAsia="宋体"/>
          <w:sz w:val="24"/>
        </w:rPr>
        <w:t>疾而</w:t>
      </w:r>
      <w:r>
        <w:rPr>
          <w:rFonts w:ascii="宋体" w:hAnsi="宋体" w:eastAsia="宋体"/>
          <w:sz w:val="24"/>
        </w:rPr>
        <w:t>薨。</w:t>
      </w:r>
      <w:r>
        <w:rPr>
          <w:rFonts w:hint="eastAsia" w:ascii="宋体" w:hAnsi="宋体" w:eastAsia="宋体"/>
          <w:sz w:val="24"/>
        </w:rPr>
        <w:t>而</w:t>
      </w:r>
      <w:r>
        <w:rPr>
          <w:rFonts w:ascii="宋体" w:hAnsi="宋体" w:eastAsia="宋体"/>
          <w:sz w:val="24"/>
        </w:rPr>
        <w:t>无量寿像</w:t>
      </w:r>
      <w:r>
        <w:rPr>
          <w:rFonts w:hint="eastAsia" w:ascii="宋体" w:hAnsi="宋体" w:eastAsia="宋体"/>
          <w:sz w:val="24"/>
        </w:rPr>
        <w:t>铭文言</w:t>
      </w:r>
      <w:r>
        <w:rPr>
          <w:rFonts w:ascii="宋体" w:hAnsi="宋体" w:eastAsia="宋体"/>
          <w:sz w:val="24"/>
        </w:rPr>
        <w:t>“弟子比缠荒苦，茹恨终天。循去节以凝哀，践□□而叠慕。太妃因心义切，助痛情深。远赴忌辰，将申感慰。岂意临途未几，奄隔幽明”</w:t>
      </w:r>
      <w:r>
        <w:rPr>
          <w:rFonts w:ascii="宋体" w:hAnsi="宋体" w:eastAsia="宋体"/>
          <w:sz w:val="24"/>
          <w:vertAlign w:val="superscript"/>
        </w:rPr>
        <w:footnoteReference w:id="45"/>
      </w:r>
      <w:r>
        <w:rPr>
          <w:rFonts w:ascii="宋体" w:hAnsi="宋体" w:eastAsia="宋体"/>
          <w:sz w:val="24"/>
        </w:rPr>
        <w:t>，更像是站在杨氏祭日主事者武后的角度上来谈的</w:t>
      </w:r>
      <w:r>
        <w:rPr>
          <w:rFonts w:hint="eastAsia" w:ascii="宋体" w:hAnsi="宋体" w:eastAsia="宋体"/>
          <w:sz w:val="24"/>
        </w:rPr>
        <w:t>。另外，细察《越国太妃燕氏墓</w:t>
      </w:r>
      <w:r>
        <w:rPr>
          <w:rFonts w:ascii="宋体" w:hAnsi="宋体" w:eastAsia="宋体"/>
          <w:sz w:val="24"/>
        </w:rPr>
        <w:t>志</w:t>
      </w:r>
      <w:r>
        <w:rPr>
          <w:rFonts w:hint="eastAsia" w:ascii="宋体" w:hAnsi="宋体" w:eastAsia="宋体"/>
          <w:sz w:val="24"/>
        </w:rPr>
        <w:t>铭》表述：</w:t>
      </w:r>
      <w:r>
        <w:rPr>
          <w:rFonts w:ascii="宋体" w:hAnsi="宋体" w:eastAsia="宋体"/>
          <w:sz w:val="24"/>
        </w:rPr>
        <w:t>“中宫为造绣像二铺，广崇净业，兼</w:t>
      </w:r>
      <w:r>
        <w:rPr>
          <w:rFonts w:hint="eastAsia" w:ascii="宋体" w:hAnsi="宋体" w:eastAsia="宋体"/>
          <w:sz w:val="24"/>
        </w:rPr>
        <w:t>制</w:t>
      </w:r>
      <w:r>
        <w:rPr>
          <w:rFonts w:ascii="宋体" w:hAnsi="宋体" w:eastAsia="宋体"/>
          <w:sz w:val="24"/>
        </w:rPr>
        <w:t>铭文，词旨绝妙。”</w:t>
      </w:r>
      <w:r>
        <w:rPr>
          <w:rFonts w:ascii="宋体" w:hAnsi="宋体" w:eastAsia="宋体"/>
          <w:sz w:val="24"/>
          <w:vertAlign w:val="superscript"/>
        </w:rPr>
        <w:footnoteReference w:id="46"/>
      </w:r>
      <w:r>
        <w:rPr>
          <w:rFonts w:ascii="宋体" w:hAnsi="宋体" w:eastAsia="宋体"/>
          <w:sz w:val="24"/>
        </w:rPr>
        <w:t>所谓“中宫”一般指皇后，</w:t>
      </w:r>
      <w:r>
        <w:rPr>
          <w:rFonts w:hint="eastAsia" w:ascii="宋体" w:hAnsi="宋体" w:eastAsia="宋体"/>
          <w:sz w:val="24"/>
        </w:rPr>
        <w:t>此处便指</w:t>
      </w:r>
      <w:r>
        <w:rPr>
          <w:rFonts w:ascii="宋体" w:hAnsi="宋体" w:eastAsia="宋体"/>
          <w:sz w:val="24"/>
        </w:rPr>
        <w:t>武后，绣像之事是她主办的，而“兼</w:t>
      </w:r>
      <w:r>
        <w:rPr>
          <w:rFonts w:hint="eastAsia" w:ascii="宋体" w:hAnsi="宋体" w:eastAsia="宋体"/>
          <w:sz w:val="24"/>
        </w:rPr>
        <w:t>制</w:t>
      </w:r>
      <w:r>
        <w:rPr>
          <w:rFonts w:ascii="宋体" w:hAnsi="宋体" w:eastAsia="宋体"/>
          <w:sz w:val="24"/>
        </w:rPr>
        <w:t>”则</w:t>
      </w:r>
      <w:r>
        <w:rPr>
          <w:rFonts w:hint="eastAsia" w:ascii="宋体" w:hAnsi="宋体" w:eastAsia="宋体"/>
          <w:sz w:val="24"/>
        </w:rPr>
        <w:t>表明</w:t>
      </w:r>
      <w:r>
        <w:rPr>
          <w:rFonts w:ascii="宋体" w:hAnsi="宋体" w:eastAsia="宋体"/>
          <w:sz w:val="24"/>
        </w:rPr>
        <w:t>两篇铭文</w:t>
      </w:r>
      <w:r>
        <w:rPr>
          <w:rFonts w:hint="eastAsia" w:ascii="宋体" w:hAnsi="宋体" w:eastAsia="宋体"/>
          <w:sz w:val="24"/>
        </w:rPr>
        <w:t>也</w:t>
      </w:r>
      <w:r>
        <w:rPr>
          <w:rFonts w:ascii="宋体" w:hAnsi="宋体" w:eastAsia="宋体"/>
          <w:sz w:val="24"/>
        </w:rPr>
        <w:t>都</w:t>
      </w:r>
      <w:r>
        <w:rPr>
          <w:rFonts w:hint="eastAsia" w:ascii="宋体" w:hAnsi="宋体" w:eastAsia="宋体"/>
          <w:sz w:val="24"/>
        </w:rPr>
        <w:t>由她制作。尽管我们无法肯定这两篇铭文是武后独立撰写的，但其署名权都应被归于武</w:t>
      </w:r>
      <w:r>
        <w:rPr>
          <w:rFonts w:ascii="宋体" w:hAnsi="宋体" w:eastAsia="宋体"/>
          <w:sz w:val="24"/>
        </w:rPr>
        <w:t>则天，</w:t>
      </w:r>
      <w:r>
        <w:rPr>
          <w:rFonts w:hint="eastAsia" w:ascii="宋体" w:hAnsi="宋体" w:eastAsia="宋体"/>
          <w:sz w:val="24"/>
        </w:rPr>
        <w:t>至于</w:t>
      </w:r>
      <w:r>
        <w:rPr>
          <w:rFonts w:ascii="宋体" w:hAnsi="宋体" w:eastAsia="宋体"/>
          <w:sz w:val="24"/>
        </w:rPr>
        <w:t>碑文中用“御”字形容武后的行为，</w:t>
      </w:r>
      <w:r>
        <w:rPr>
          <w:rFonts w:hint="eastAsia" w:ascii="宋体" w:hAnsi="宋体" w:eastAsia="宋体"/>
          <w:sz w:val="24"/>
        </w:rPr>
        <w:t>则</w:t>
      </w:r>
      <w:r>
        <w:rPr>
          <w:rFonts w:ascii="宋体" w:hAnsi="宋体" w:eastAsia="宋体"/>
          <w:sz w:val="24"/>
        </w:rPr>
        <w:t>映射了其时</w:t>
      </w:r>
      <w:r>
        <w:rPr>
          <w:rFonts w:hint="eastAsia" w:ascii="宋体" w:hAnsi="宋体" w:eastAsia="宋体"/>
          <w:sz w:val="24"/>
        </w:rPr>
        <w:t>“二圣”</w:t>
      </w:r>
      <w:r>
        <w:rPr>
          <w:rFonts w:ascii="宋体" w:hAnsi="宋体" w:eastAsia="宋体"/>
          <w:sz w:val="24"/>
        </w:rPr>
        <w:t>共治的政治局面。</w:t>
      </w:r>
    </w:p>
    <w:p>
      <w:pPr>
        <w:spacing w:line="360" w:lineRule="auto"/>
        <w:ind w:firstLine="480" w:firstLineChars="200"/>
        <w:rPr>
          <w:rFonts w:ascii="仿宋" w:hAnsi="仿宋" w:eastAsia="仿宋"/>
          <w:sz w:val="24"/>
        </w:rPr>
      </w:pPr>
      <w:r>
        <w:rPr>
          <w:rFonts w:hint="eastAsia" w:ascii="宋体" w:hAnsi="宋体" w:eastAsia="宋体"/>
          <w:sz w:val="24"/>
        </w:rPr>
        <w:t>《越国太妃燕氏碑》以“文中文”的形态保留了这两篇涉佛铭文，其一为无量寿绣像铭文：</w:t>
      </w:r>
    </w:p>
    <w:p>
      <w:pPr>
        <w:spacing w:before="156" w:beforeLines="50" w:after="156" w:afterLines="50" w:line="360" w:lineRule="auto"/>
        <w:ind w:left="420" w:leftChars="200" w:firstLine="480" w:firstLineChars="200"/>
        <w:rPr>
          <w:rFonts w:ascii="仿宋" w:hAnsi="仿宋" w:eastAsia="仿宋"/>
          <w:sz w:val="24"/>
        </w:rPr>
      </w:pPr>
      <w:r>
        <w:rPr>
          <w:rFonts w:hint="eastAsia" w:ascii="楷体" w:hAnsi="楷体" w:eastAsia="楷体"/>
          <w:sz w:val="24"/>
        </w:rPr>
        <w:t>窃以境称安乐，</w:t>
      </w:r>
      <w:r>
        <w:rPr>
          <w:rFonts w:ascii="楷体" w:hAnsi="楷体" w:eastAsia="楷体"/>
          <w:sz w:val="24"/>
        </w:rPr>
        <w:t>□□□□</w:t>
      </w:r>
      <w:r>
        <w:rPr>
          <w:rFonts w:hint="eastAsia" w:ascii="楷体" w:hAnsi="楷体" w:eastAsia="楷体"/>
          <w:sz w:val="24"/>
        </w:rPr>
        <w:t>崇珍；域表端严，精明因而诞妙。转外尘于四宝，广现慈根；具本相于千光，弘敷道力。花庄梵宇，金阁重晖。月莹真空，珠豪结影。存法界而遥想，善愿攸符；仰圆照以遐观，胜缘斯叶。越国故太妃含章韫粹，体顺凝和。腾美誉于丹闱，播芳猷于彤管。申规竹</w:t>
      </w:r>
      <w:r>
        <w:rPr>
          <w:rFonts w:ascii="楷体" w:hAnsi="楷体" w:eastAsia="楷体"/>
          <w:sz w:val="24"/>
        </w:rPr>
        <w:t>□</w:t>
      </w:r>
      <w:r>
        <w:rPr>
          <w:rFonts w:hint="eastAsia" w:ascii="楷体" w:hAnsi="楷体" w:eastAsia="楷体"/>
          <w:sz w:val="24"/>
        </w:rPr>
        <w:t>，</w:t>
      </w:r>
      <w:r>
        <w:rPr>
          <w:rFonts w:ascii="楷体" w:hAnsi="楷体" w:eastAsia="楷体"/>
          <w:sz w:val="24"/>
        </w:rPr>
        <w:t>□□□</w:t>
      </w:r>
      <w:r>
        <w:rPr>
          <w:rFonts w:hint="eastAsia" w:ascii="楷体" w:hAnsi="楷体" w:eastAsia="楷体"/>
          <w:sz w:val="24"/>
        </w:rPr>
        <w:t>而宣慈；垂范桂岩，崇五礼而敷训。柔仪允著，通该四德之源；媛则昭隆，光映七篇之首。弟子比缠荒苦，茹恨终天。循去节以凝哀，践</w:t>
      </w:r>
      <w:r>
        <w:rPr>
          <w:rFonts w:ascii="楷体" w:hAnsi="楷体" w:eastAsia="楷体"/>
          <w:sz w:val="24"/>
        </w:rPr>
        <w:t>□□</w:t>
      </w:r>
      <w:r>
        <w:rPr>
          <w:rFonts w:hint="eastAsia" w:ascii="楷体" w:hAnsi="楷体" w:eastAsia="楷体"/>
          <w:sz w:val="24"/>
        </w:rPr>
        <w:t>而叠慕。太妃因心义切，助痛情深。远赴忌辰，将申感慰。岂意临途未几，奄隔幽明。载想至怀，倍结九泉之恨；兴言永</w:t>
      </w:r>
      <w:r>
        <w:rPr>
          <w:rFonts w:ascii="楷体" w:hAnsi="楷体" w:eastAsia="楷体"/>
          <w:sz w:val="24"/>
        </w:rPr>
        <w:t>□，□□</w:t>
      </w:r>
      <w:r>
        <w:rPr>
          <w:rFonts w:hint="eastAsia" w:ascii="楷体" w:hAnsi="楷体" w:eastAsia="楷体"/>
          <w:sz w:val="24"/>
        </w:rPr>
        <w:t>万古之悲。庶托津梁，少资冥福。今者敬为太妃造无量寿像一铺。绣金台于凤缕，光含聚日之容；绚玉沼于龙纹，彩叠乘光之步。所愿凭兹慧业，式荐祥缘。正觉流保护之恩，大士授冥薰之力。天缨辉质，迥骛禅林。月殿游神，高升法岸。傍周千界，普彼十方。</w:t>
      </w:r>
      <w:r>
        <w:rPr>
          <w:rFonts w:ascii="楷体" w:hAnsi="楷体" w:eastAsia="楷体"/>
          <w:sz w:val="24"/>
        </w:rPr>
        <w:t>□□□</w:t>
      </w:r>
      <w:r>
        <w:rPr>
          <w:rFonts w:hint="eastAsia" w:ascii="楷体" w:hAnsi="楷体" w:eastAsia="楷体"/>
          <w:sz w:val="24"/>
        </w:rPr>
        <w:t>生，俱登妙果。</w:t>
      </w:r>
      <w:r>
        <w:rPr>
          <w:rFonts w:ascii="仿宋" w:hAnsi="仿宋" w:eastAsia="仿宋"/>
          <w:sz w:val="24"/>
          <w:vertAlign w:val="superscript"/>
        </w:rPr>
        <w:footnoteReference w:id="47"/>
      </w:r>
    </w:p>
    <w:p>
      <w:pPr>
        <w:spacing w:line="360" w:lineRule="auto"/>
        <w:rPr>
          <w:rFonts w:ascii="宋体" w:hAnsi="宋体" w:eastAsia="宋体"/>
          <w:sz w:val="24"/>
        </w:rPr>
      </w:pPr>
      <w:r>
        <w:rPr>
          <w:rFonts w:hint="eastAsia" w:ascii="宋体" w:hAnsi="宋体" w:eastAsia="宋体"/>
          <w:sz w:val="24"/>
        </w:rPr>
        <w:t>其二为释迦牟尼绣像铭文：</w:t>
      </w:r>
    </w:p>
    <w:p>
      <w:pPr>
        <w:spacing w:before="156" w:beforeLines="50" w:after="156" w:afterLines="50" w:line="360" w:lineRule="auto"/>
        <w:ind w:left="420" w:leftChars="200" w:firstLine="480" w:firstLineChars="200"/>
        <w:rPr>
          <w:rFonts w:ascii="宋体" w:hAnsi="宋体" w:eastAsia="宋体"/>
          <w:sz w:val="24"/>
        </w:rPr>
      </w:pPr>
      <w:r>
        <w:rPr>
          <w:rFonts w:ascii="楷体" w:hAnsi="楷体" w:eastAsia="楷体"/>
          <w:sz w:val="24"/>
        </w:rPr>
        <w:t>盖闻龙池引派，疏定水之安波；鹫岳曾基，开禅林之宝地。恒星掩耀，无生示其化生；冠日通辉，非相</w:t>
      </w:r>
      <w:r>
        <w:rPr>
          <w:rFonts w:hint="eastAsia" w:ascii="楷体" w:hAnsi="楷体" w:eastAsia="楷体"/>
          <w:sz w:val="24"/>
        </w:rPr>
        <w:t>摽</w:t>
      </w:r>
      <w:r>
        <w:rPr>
          <w:rFonts w:ascii="楷体" w:hAnsi="楷体" w:eastAsia="楷体"/>
          <w:sz w:val="24"/>
        </w:rPr>
        <w:t>其实相。道穷净智，瞻彼岸而虽遥；福被明因，总群方而普洽。越国故太妃禀柔凝淑，履顺含章。契叶松心，傍综十□□□誉流苹涧，通符六艺之诗。申雅诲于梁庭，</w:t>
      </w:r>
      <w:r>
        <w:rPr>
          <w:rFonts w:hint="eastAsia" w:ascii="楷体" w:hAnsi="楷体" w:eastAsia="楷体"/>
          <w:sz w:val="24"/>
        </w:rPr>
        <w:t>䦱门贻范；导洪猷于陈邸，炜管飞芳。㧑谦之道既弘，忠慎之规允穆。方冀辅仁潜祐，寿固仙岩，岂意与善无征，年移夜壑。弟子缅维平昔，姻好特隆。今古忽殊，追怆何极。兴言感咽，轸悼良深。加以四序不停，千旬斯□□□扃而日远，结丹想而增悲。思植芳缘，式资冥祐。故于今百日，为造释迦牟尼绣</w:t>
      </w:r>
      <w:r>
        <w:rPr>
          <w:rFonts w:ascii="楷体" w:hAnsi="楷体" w:eastAsia="楷体"/>
          <w:sz w:val="24"/>
        </w:rPr>
        <w:t>像一铺。珠云绚彩，叶浮鸳绮之中；珂雪霏光，花叠龙纹之际。以斯妙果，永构津梁。所愿藻虑三明，澄襟八解。□庵园之至道，叶</w:t>
      </w:r>
      <w:r>
        <w:rPr>
          <w:rFonts w:hint="eastAsia" w:ascii="楷体" w:hAnsi="楷体" w:eastAsia="楷体"/>
          <w:sz w:val="24"/>
        </w:rPr>
        <w:t>奈苑</w:t>
      </w:r>
      <w:r>
        <w:rPr>
          <w:rFonts w:ascii="楷体" w:hAnsi="楷体" w:eastAsia="楷体"/>
          <w:sz w:val="24"/>
        </w:rPr>
        <w:t>之嘉祥。迥</w:t>
      </w:r>
      <w:r>
        <w:rPr>
          <w:rFonts w:hint="eastAsia" w:ascii="楷体" w:hAnsi="楷体" w:eastAsia="楷体"/>
          <w:sz w:val="24"/>
        </w:rPr>
        <w:t>升</w:t>
      </w:r>
      <w:r>
        <w:rPr>
          <w:rFonts w:ascii="楷体" w:hAnsi="楷体" w:eastAsia="楷体"/>
          <w:sz w:val="24"/>
        </w:rPr>
        <w:t>波若之台，常荫菩提之树。遐覃□□普及四流。并驭法轮，俱捐爱网。</w:t>
      </w:r>
      <w:r>
        <w:rPr>
          <w:rFonts w:ascii="仿宋" w:hAnsi="仿宋" w:eastAsia="仿宋"/>
          <w:sz w:val="24"/>
          <w:vertAlign w:val="superscript"/>
        </w:rPr>
        <w:footnoteReference w:id="48"/>
      </w:r>
    </w:p>
    <w:p>
      <w:pPr>
        <w:spacing w:line="360" w:lineRule="auto"/>
        <w:rPr>
          <w:rFonts w:ascii="宋体" w:hAnsi="宋体" w:eastAsia="宋体"/>
          <w:sz w:val="24"/>
        </w:rPr>
      </w:pPr>
      <w:r>
        <w:rPr>
          <w:rFonts w:hint="eastAsia" w:ascii="宋体" w:hAnsi="宋体" w:eastAsia="宋体"/>
          <w:sz w:val="24"/>
        </w:rPr>
        <w:t>两篇铭文篇幅相当，在结构上也呈现出高度相似性，基本都能分出四个层次：其一是议论式的引言；其二则落实到对燕太妃的颂美；其三是表达武后的哀痛，并交代造绣像事；其四是对燕太妃到达彼岸世界的想象与形塑，并祈愿燕太妃的神明护佑世间。两篇铭文均展现了现世之外的宗教维度，体现出武后对于燕太妃往生极乐的想象。</w:t>
      </w:r>
    </w:p>
    <w:p>
      <w:pPr>
        <w:spacing w:line="360" w:lineRule="auto"/>
        <w:ind w:firstLine="480" w:firstLineChars="200"/>
        <w:rPr>
          <w:rFonts w:ascii="宋体" w:hAnsi="宋体" w:eastAsia="宋体"/>
          <w:sz w:val="24"/>
        </w:rPr>
      </w:pPr>
      <w:r>
        <w:rPr>
          <w:rFonts w:hint="eastAsia" w:ascii="宋体" w:hAnsi="宋体" w:eastAsia="宋体"/>
          <w:sz w:val="24"/>
        </w:rPr>
        <w:t>燕氏去世之后，高宗和武后曾为其安排了一系列佛教仪式，据《越国太妃燕氏碑》云：</w:t>
      </w:r>
    </w:p>
    <w:p>
      <w:pPr>
        <w:spacing w:before="156" w:beforeLines="50" w:after="156" w:afterLines="50" w:line="360" w:lineRule="auto"/>
        <w:ind w:left="420" w:leftChars="200" w:firstLine="480" w:firstLineChars="200"/>
        <w:rPr>
          <w:rFonts w:ascii="宋体" w:hAnsi="宋体" w:eastAsia="宋体"/>
          <w:sz w:val="24"/>
        </w:rPr>
      </w:pPr>
      <w:r>
        <w:rPr>
          <w:rFonts w:ascii="楷体" w:hAnsi="楷体" w:eastAsia="楷体"/>
          <w:sz w:val="24"/>
        </w:rPr>
        <w:t>皇帝特为举哀□□□日，又降别敕，尽东京观寺</w:t>
      </w:r>
      <w:r>
        <w:rPr>
          <w:rFonts w:hint="eastAsia" w:ascii="楷体" w:hAnsi="楷体" w:eastAsia="楷体"/>
          <w:sz w:val="24"/>
        </w:rPr>
        <w:t>，</w:t>
      </w:r>
      <w:r>
        <w:rPr>
          <w:rFonts w:ascii="楷体" w:hAnsi="楷体" w:eastAsia="楷体"/>
          <w:sz w:val="24"/>
        </w:rPr>
        <w:t>并为设斋</w:t>
      </w:r>
      <w:r>
        <w:rPr>
          <w:rFonts w:hint="eastAsia" w:ascii="楷体" w:hAnsi="楷体" w:eastAsia="楷体"/>
          <w:sz w:val="24"/>
        </w:rPr>
        <w:t>。</w:t>
      </w:r>
      <w:r>
        <w:rPr>
          <w:rFonts w:ascii="楷体" w:hAnsi="楷体" w:eastAsia="楷体"/>
          <w:sz w:val="24"/>
        </w:rPr>
        <w:t>又遣使人往宋州，尽其境内观寺，转经行道，凡经三日，度二七人。粤以其年十有二月廿七日</w:t>
      </w:r>
      <w:r>
        <w:rPr>
          <w:rFonts w:hint="eastAsia" w:ascii="楷体" w:hAnsi="楷体" w:eastAsia="楷体"/>
          <w:sz w:val="24"/>
        </w:rPr>
        <w:t>，</w:t>
      </w:r>
      <w:r>
        <w:rPr>
          <w:rFonts w:ascii="楷体" w:hAnsi="楷体" w:eastAsia="楷体"/>
          <w:sz w:val="24"/>
        </w:rPr>
        <w:t>陪葬于昭陵，礼也。……</w:t>
      </w:r>
      <w:r>
        <w:rPr>
          <w:rFonts w:hint="eastAsia" w:ascii="楷体" w:hAnsi="楷体" w:eastAsia="楷体"/>
          <w:sz w:val="24"/>
        </w:rPr>
        <w:t>中宫特为造绣无量寿像，神笔御铭，绣于座下。</w:t>
      </w:r>
      <w:r>
        <w:rPr>
          <w:rFonts w:ascii="楷体" w:hAnsi="楷体" w:eastAsia="楷体"/>
          <w:sz w:val="24"/>
        </w:rPr>
        <w:t>……至百日，又奉勅就京宅设七百僧斋，别赐米面二百石。</w:t>
      </w:r>
      <w:r>
        <w:rPr>
          <w:rFonts w:ascii="宋体" w:hAnsi="宋体" w:eastAsia="宋体"/>
          <w:sz w:val="24"/>
          <w:vertAlign w:val="superscript"/>
        </w:rPr>
        <w:footnoteReference w:id="49"/>
      </w:r>
    </w:p>
    <w:p>
      <w:pPr>
        <w:spacing w:line="360" w:lineRule="auto"/>
        <w:rPr>
          <w:rFonts w:ascii="宋体" w:hAnsi="宋体" w:eastAsia="宋体"/>
          <w:sz w:val="24"/>
        </w:rPr>
      </w:pPr>
      <w:r>
        <w:rPr>
          <w:rFonts w:hint="eastAsia" w:ascii="宋体" w:hAnsi="宋体" w:eastAsia="宋体"/>
          <w:sz w:val="24"/>
        </w:rPr>
        <w:t>在燕太妃陪葬昭陵之前，有</w:t>
      </w:r>
      <w:r>
        <w:rPr>
          <w:rFonts w:ascii="宋体" w:hAnsi="宋体" w:eastAsia="宋体"/>
          <w:sz w:val="24"/>
        </w:rPr>
        <w:t>东都寺观设斋</w:t>
      </w:r>
      <w:r>
        <w:rPr>
          <w:rFonts w:hint="eastAsia" w:ascii="宋体" w:hAnsi="宋体" w:eastAsia="宋体"/>
          <w:sz w:val="24"/>
        </w:rPr>
        <w:t>、</w:t>
      </w:r>
      <w:r>
        <w:rPr>
          <w:rFonts w:ascii="宋体" w:hAnsi="宋体" w:eastAsia="宋体"/>
          <w:sz w:val="24"/>
        </w:rPr>
        <w:t>宋州僧尼行道</w:t>
      </w:r>
      <w:r>
        <w:rPr>
          <w:rFonts w:hint="eastAsia" w:ascii="宋体" w:hAnsi="宋体" w:eastAsia="宋体"/>
          <w:sz w:val="24"/>
        </w:rPr>
        <w:t>事</w:t>
      </w:r>
      <w:bookmarkStart w:id="2" w:name="OLE_LINK3"/>
      <w:r>
        <w:rPr>
          <w:rFonts w:hint="eastAsia" w:ascii="宋体" w:hAnsi="宋体" w:eastAsia="宋体"/>
          <w:sz w:val="24"/>
        </w:rPr>
        <w:t>，</w:t>
      </w:r>
      <w:bookmarkEnd w:id="2"/>
      <w:r>
        <w:rPr>
          <w:rFonts w:hint="eastAsia" w:ascii="宋体" w:hAnsi="宋体" w:eastAsia="宋体"/>
          <w:sz w:val="24"/>
        </w:rPr>
        <w:t>薨后百日，又在其</w:t>
      </w:r>
      <w:r>
        <w:rPr>
          <w:rFonts w:ascii="宋体" w:hAnsi="宋体" w:eastAsia="宋体"/>
          <w:sz w:val="24"/>
        </w:rPr>
        <w:t>京宅设七百僧斋</w:t>
      </w:r>
      <w:r>
        <w:rPr>
          <w:rFonts w:hint="eastAsia" w:ascii="宋体" w:hAnsi="宋体" w:eastAsia="宋体"/>
          <w:sz w:val="24"/>
        </w:rPr>
        <w:t>。涉佛铭文及宗教仪式均体现了武后以佛教名义提升自己政治影响力、争取佛教信众等社会势力支持的意图，这些并非孤立的行为。荣国夫人去世之后，武后就曾令武敏之造佛像追福。燕太妃去世的第二年，武后又出资在洛阳龙门营建卢舍那佛像，据</w:t>
      </w:r>
      <w:r>
        <w:rPr>
          <w:rFonts w:ascii="宋体" w:hAnsi="宋体" w:eastAsia="宋体"/>
          <w:sz w:val="24"/>
        </w:rPr>
        <w:t>《河洛上都龙门之阳大卢舍那像龛记》</w:t>
      </w:r>
      <w:r>
        <w:rPr>
          <w:rFonts w:hint="eastAsia" w:ascii="宋体" w:hAnsi="宋体" w:eastAsia="宋体"/>
          <w:sz w:val="24"/>
        </w:rPr>
        <w:t>云：“大唐高宗天皇大帝之所建也。</w:t>
      </w:r>
      <w:r>
        <w:rPr>
          <w:rFonts w:ascii="宋体" w:hAnsi="宋体" w:eastAsia="宋体"/>
          <w:sz w:val="24"/>
        </w:rPr>
        <w:t>……粤以咸亨三年壬申之岁四月一日，皇后武氏助脂粉钱二万贯……至上元二年乙亥十二月卅日毕功。</w:t>
      </w:r>
      <w:r>
        <w:rPr>
          <w:rFonts w:hint="eastAsia" w:ascii="宋体" w:hAnsi="宋体" w:eastAsia="宋体"/>
          <w:sz w:val="24"/>
        </w:rPr>
        <w:t>”</w:t>
      </w:r>
      <w:r>
        <w:rPr>
          <w:rFonts w:ascii="宋体" w:hAnsi="宋体" w:eastAsia="宋体"/>
          <w:sz w:val="24"/>
          <w:vertAlign w:val="superscript"/>
        </w:rPr>
        <w:footnoteReference w:id="50"/>
      </w:r>
      <w:r>
        <w:rPr>
          <w:rFonts w:hint="eastAsia" w:ascii="宋体" w:hAnsi="宋体" w:eastAsia="宋体"/>
          <w:sz w:val="24"/>
        </w:rPr>
        <w:t>此举更是高调宣扬了武后的佛教理念，“反映了武则天这一非凡女性参决朝政初期即已高度重视宗教神学在其政治事业中的特殊作用，因而这项艺术工程的诞生也就成为武氏其人在李唐社会中扩大自身政治影响而率先借重佛教神权的文化见证。”</w:t>
      </w:r>
      <w:r>
        <w:rPr>
          <w:rFonts w:ascii="宋体" w:hAnsi="宋体" w:eastAsia="宋体"/>
          <w:sz w:val="24"/>
          <w:vertAlign w:val="superscript"/>
        </w:rPr>
        <w:footnoteReference w:id="51"/>
      </w:r>
      <w:r>
        <w:rPr>
          <w:rFonts w:hint="eastAsia" w:ascii="宋体" w:hAnsi="宋体" w:eastAsia="宋体"/>
          <w:sz w:val="24"/>
        </w:rPr>
        <w:t>咸亨初年，武后主导燕妃逝世后繁复的佛教仪式，并且两度撰写涉佛铭文，以及出资塑造卢舍那佛像，这一系列行为具有共同动因，即以佛教名义扩大中宫影响力，这折射出宫廷浓重的宗教氛围，而此氛围的形成和武后引领的风气有直接关联。</w:t>
      </w:r>
    </w:p>
    <w:p>
      <w:pPr>
        <w:spacing w:line="360" w:lineRule="auto"/>
        <w:ind w:firstLine="480" w:firstLineChars="200"/>
        <w:rPr>
          <w:rFonts w:ascii="宋体" w:hAnsi="宋体" w:eastAsia="宋体"/>
          <w:sz w:val="24"/>
        </w:rPr>
      </w:pPr>
      <w:r>
        <w:rPr>
          <w:rFonts w:hint="eastAsia" w:ascii="宋体" w:hAnsi="宋体" w:eastAsia="宋体"/>
          <w:sz w:val="24"/>
        </w:rPr>
        <w:t>越国太妃燕氏碑志对于武后涉佛铭文采取不同的记录态度，既与碑志文体本身的差异有关，也与撰者的政治考量有关。</w:t>
      </w:r>
      <w:r>
        <w:rPr>
          <w:rFonts w:ascii="宋体" w:hAnsi="宋体" w:eastAsia="宋体"/>
          <w:sz w:val="24"/>
        </w:rPr>
        <w:t>墓志</w:t>
      </w:r>
      <w:r>
        <w:rPr>
          <w:rFonts w:hint="eastAsia" w:ascii="宋体" w:hAnsi="宋体" w:eastAsia="宋体"/>
          <w:sz w:val="24"/>
        </w:rPr>
        <w:t>书写</w:t>
      </w:r>
      <w:r>
        <w:rPr>
          <w:rFonts w:ascii="宋体" w:hAnsi="宋体" w:eastAsia="宋体"/>
          <w:sz w:val="24"/>
        </w:rPr>
        <w:t>面积</w:t>
      </w:r>
      <w:r>
        <w:rPr>
          <w:rFonts w:hint="eastAsia" w:ascii="宋体" w:hAnsi="宋体" w:eastAsia="宋体"/>
          <w:sz w:val="24"/>
        </w:rPr>
        <w:t>相对有限</w:t>
      </w:r>
      <w:r>
        <w:rPr>
          <w:rFonts w:ascii="宋体" w:hAnsi="宋体" w:eastAsia="宋体"/>
          <w:sz w:val="24"/>
        </w:rPr>
        <w:t>，即使是太妃，其墓志的篇幅也不宜铺张过度</w:t>
      </w:r>
      <w:r>
        <w:rPr>
          <w:rFonts w:hint="eastAsia" w:ascii="宋体" w:hAnsi="宋体" w:eastAsia="宋体"/>
          <w:sz w:val="24"/>
        </w:rPr>
        <w:t>，且</w:t>
      </w:r>
      <w:r>
        <w:rPr>
          <w:rFonts w:ascii="宋体" w:hAnsi="宋体" w:eastAsia="宋体"/>
          <w:sz w:val="24"/>
        </w:rPr>
        <w:t>神道碑</w:t>
      </w:r>
      <w:r>
        <w:rPr>
          <w:rFonts w:hint="eastAsia" w:ascii="宋体" w:hAnsi="宋体" w:eastAsia="宋体"/>
          <w:sz w:val="24"/>
        </w:rPr>
        <w:t>立在墓前，比墓志铭更需</w:t>
      </w:r>
      <w:r>
        <w:rPr>
          <w:rFonts w:ascii="宋体" w:hAnsi="宋体" w:eastAsia="宋体"/>
          <w:sz w:val="24"/>
        </w:rPr>
        <w:t>兼顾</w:t>
      </w:r>
      <w:r>
        <w:rPr>
          <w:rFonts w:hint="eastAsia" w:ascii="宋体" w:hAnsi="宋体" w:eastAsia="宋体"/>
          <w:sz w:val="24"/>
        </w:rPr>
        <w:t>现实影响。此</w:t>
      </w:r>
      <w:r>
        <w:rPr>
          <w:rFonts w:ascii="宋体" w:hAnsi="宋体" w:eastAsia="宋体"/>
          <w:sz w:val="24"/>
        </w:rPr>
        <w:t>碑由许敬宗撰写，</w:t>
      </w:r>
      <w:r>
        <w:rPr>
          <w:rFonts w:hint="eastAsia" w:ascii="宋体" w:hAnsi="宋体" w:eastAsia="宋体"/>
          <w:sz w:val="24"/>
        </w:rPr>
        <w:t>作为</w:t>
      </w:r>
      <w:r>
        <w:rPr>
          <w:rFonts w:ascii="宋体" w:hAnsi="宋体" w:eastAsia="宋体"/>
          <w:sz w:val="24"/>
        </w:rPr>
        <w:t>“废王立武”</w:t>
      </w:r>
      <w:r>
        <w:rPr>
          <w:rFonts w:hint="eastAsia" w:ascii="宋体" w:hAnsi="宋体" w:eastAsia="宋体"/>
          <w:sz w:val="24"/>
        </w:rPr>
        <w:t>事件中武后</w:t>
      </w:r>
      <w:r>
        <w:rPr>
          <w:rFonts w:ascii="宋体" w:hAnsi="宋体" w:eastAsia="宋体"/>
          <w:sz w:val="24"/>
        </w:rPr>
        <w:t>的重要支持者，他也清楚太妃</w:t>
      </w:r>
      <w:r>
        <w:rPr>
          <w:rFonts w:hint="eastAsia" w:ascii="宋体" w:hAnsi="宋体" w:eastAsia="宋体"/>
          <w:sz w:val="24"/>
        </w:rPr>
        <w:t>与</w:t>
      </w:r>
      <w:r>
        <w:rPr>
          <w:rFonts w:ascii="宋体" w:hAnsi="宋体" w:eastAsia="宋体"/>
          <w:sz w:val="24"/>
        </w:rPr>
        <w:t>武后</w:t>
      </w:r>
      <w:r>
        <w:rPr>
          <w:rFonts w:hint="eastAsia" w:ascii="宋体" w:hAnsi="宋体" w:eastAsia="宋体"/>
          <w:sz w:val="24"/>
        </w:rPr>
        <w:t>之间</w:t>
      </w:r>
      <w:r>
        <w:rPr>
          <w:rFonts w:ascii="宋体" w:hAnsi="宋体" w:eastAsia="宋体"/>
          <w:sz w:val="24"/>
        </w:rPr>
        <w:t>非比寻常</w:t>
      </w:r>
      <w:r>
        <w:rPr>
          <w:rFonts w:hint="eastAsia" w:ascii="宋体" w:hAnsi="宋体" w:eastAsia="宋体"/>
          <w:sz w:val="24"/>
        </w:rPr>
        <w:t>的关系，由</w:t>
      </w:r>
      <w:r>
        <w:rPr>
          <w:rFonts w:ascii="宋体" w:hAnsi="宋体" w:eastAsia="宋体"/>
          <w:sz w:val="24"/>
        </w:rPr>
        <w:t>他主笔此碑，自然会优先顾及武后的</w:t>
      </w:r>
      <w:r>
        <w:rPr>
          <w:rFonts w:hint="eastAsia" w:ascii="宋体" w:hAnsi="宋体" w:eastAsia="宋体"/>
          <w:sz w:val="24"/>
        </w:rPr>
        <w:t>利益</w:t>
      </w:r>
      <w:r>
        <w:rPr>
          <w:rFonts w:ascii="宋体" w:hAnsi="宋体" w:eastAsia="宋体"/>
          <w:sz w:val="24"/>
        </w:rPr>
        <w:t>，故凸显其影响力。</w:t>
      </w:r>
      <w:r>
        <w:rPr>
          <w:rFonts w:hint="eastAsia" w:ascii="宋体" w:hAnsi="宋体" w:eastAsia="宋体"/>
          <w:sz w:val="24"/>
        </w:rPr>
        <w:t>“敬宗咸亨元年致仕，三年卒，终年八十一岁，盖撰此文时已年逾八旬矣。”</w:t>
      </w:r>
      <w:r>
        <w:rPr>
          <w:rFonts w:ascii="宋体" w:hAnsi="宋体" w:eastAsia="宋体"/>
          <w:sz w:val="24"/>
          <w:vertAlign w:val="superscript"/>
        </w:rPr>
        <w:footnoteReference w:id="52"/>
      </w:r>
      <w:r>
        <w:rPr>
          <w:rFonts w:hint="eastAsia" w:ascii="宋体" w:hAnsi="宋体" w:eastAsia="宋体"/>
          <w:sz w:val="24"/>
        </w:rPr>
        <w:t>很可能是武后特别授意许敬宗撰写此碑的。越</w:t>
      </w:r>
      <w:r>
        <w:rPr>
          <w:rFonts w:ascii="宋体" w:hAnsi="宋体" w:eastAsia="宋体"/>
          <w:sz w:val="24"/>
        </w:rPr>
        <w:t>国太妃和武则天</w:t>
      </w:r>
      <w:r>
        <w:rPr>
          <w:rFonts w:hint="eastAsia" w:ascii="宋体" w:hAnsi="宋体" w:eastAsia="宋体"/>
          <w:sz w:val="24"/>
        </w:rPr>
        <w:t>是</w:t>
      </w:r>
      <w:r>
        <w:rPr>
          <w:rFonts w:ascii="宋体" w:hAnsi="宋体" w:eastAsia="宋体"/>
          <w:sz w:val="24"/>
        </w:rPr>
        <w:t>远房表亲的关系，两人同在朝中，</w:t>
      </w:r>
      <w:r>
        <w:rPr>
          <w:rFonts w:hint="eastAsia" w:ascii="宋体" w:hAnsi="宋体" w:eastAsia="宋体"/>
          <w:sz w:val="24"/>
        </w:rPr>
        <w:t>又</w:t>
      </w:r>
      <w:r>
        <w:rPr>
          <w:rFonts w:ascii="宋体" w:hAnsi="宋体" w:eastAsia="宋体"/>
          <w:sz w:val="24"/>
        </w:rPr>
        <w:t>都取得了极尊的政治地位，在血缘关系之外又多了一层互相支持的政治背景，</w:t>
      </w:r>
      <w:r>
        <w:rPr>
          <w:rFonts w:hint="eastAsia" w:ascii="宋体" w:hAnsi="宋体" w:eastAsia="宋体"/>
          <w:sz w:val="24"/>
        </w:rPr>
        <w:t>武后在铭文中抒发的哀恸体现了二人关</w:t>
      </w:r>
      <w:r>
        <w:rPr>
          <w:rFonts w:ascii="宋体" w:hAnsi="宋体" w:eastAsia="宋体"/>
          <w:sz w:val="24"/>
        </w:rPr>
        <w:t>系非同一般</w:t>
      </w:r>
      <w:r>
        <w:rPr>
          <w:rFonts w:hint="eastAsia" w:ascii="宋体" w:hAnsi="宋体" w:eastAsia="宋体"/>
          <w:sz w:val="24"/>
        </w:rPr>
        <w:t>，其</w:t>
      </w:r>
      <w:r>
        <w:rPr>
          <w:rFonts w:ascii="宋体" w:hAnsi="宋体" w:eastAsia="宋体"/>
          <w:sz w:val="24"/>
        </w:rPr>
        <w:t>行为既是出于真情，也符合后宫之主的身份</w:t>
      </w:r>
      <w:r>
        <w:rPr>
          <w:rFonts w:hint="eastAsia" w:ascii="宋体" w:hAnsi="宋体" w:eastAsia="宋体"/>
          <w:sz w:val="24"/>
        </w:rPr>
        <w:t>。《越国太妃燕氏碑》全文记录武后这两篇铭文，所占碑文篇幅超过了介绍高宗应对措施的部分，这样的情况在昭陵诸碑中是十分特殊的现象。燕氏排在昭陵陪葬名位之首，身份极为尊贵，武则天把燕太妃的神道碑当成自己的宣传板，充分彰显自己</w:t>
      </w:r>
      <w:r>
        <w:rPr>
          <w:rFonts w:ascii="宋体" w:hAnsi="宋体" w:eastAsia="宋体"/>
          <w:sz w:val="24"/>
        </w:rPr>
        <w:t>的政治</w:t>
      </w:r>
      <w:r>
        <w:rPr>
          <w:rFonts w:hint="eastAsia" w:ascii="宋体" w:hAnsi="宋体" w:eastAsia="宋体"/>
          <w:sz w:val="24"/>
        </w:rPr>
        <w:t>地位</w:t>
      </w:r>
      <w:r>
        <w:rPr>
          <w:rFonts w:ascii="宋体" w:hAnsi="宋体" w:eastAsia="宋体"/>
          <w:sz w:val="24"/>
        </w:rPr>
        <w:t>，</w:t>
      </w:r>
      <w:r>
        <w:rPr>
          <w:rFonts w:hint="eastAsia" w:ascii="宋体" w:hAnsi="宋体" w:eastAsia="宋体"/>
          <w:sz w:val="24"/>
        </w:rPr>
        <w:t>并再一次利用宗教行为宣扬了自己的理念，在此意义上，无</w:t>
      </w:r>
      <w:r>
        <w:rPr>
          <w:rFonts w:ascii="宋体" w:hAnsi="宋体" w:eastAsia="宋体"/>
          <w:sz w:val="24"/>
        </w:rPr>
        <w:t>论碑文录入两篇</w:t>
      </w:r>
      <w:r>
        <w:rPr>
          <w:rFonts w:hint="eastAsia" w:ascii="宋体" w:hAnsi="宋体" w:eastAsia="宋体"/>
          <w:sz w:val="24"/>
        </w:rPr>
        <w:t>铭文</w:t>
      </w:r>
      <w:r>
        <w:rPr>
          <w:rFonts w:ascii="宋体" w:hAnsi="宋体" w:eastAsia="宋体"/>
          <w:sz w:val="24"/>
        </w:rPr>
        <w:t>的做法是否出于武后的直接授意，其</w:t>
      </w:r>
      <w:r>
        <w:rPr>
          <w:rFonts w:hint="eastAsia" w:ascii="宋体" w:hAnsi="宋体" w:eastAsia="宋体"/>
          <w:sz w:val="24"/>
        </w:rPr>
        <w:t>结果</w:t>
      </w:r>
      <w:r>
        <w:rPr>
          <w:rFonts w:ascii="宋体" w:hAnsi="宋体" w:eastAsia="宋体"/>
          <w:sz w:val="24"/>
        </w:rPr>
        <w:t>与武后</w:t>
      </w:r>
      <w:r>
        <w:rPr>
          <w:rFonts w:hint="eastAsia" w:ascii="宋体" w:hAnsi="宋体" w:eastAsia="宋体"/>
          <w:sz w:val="24"/>
        </w:rPr>
        <w:t>的利益</w:t>
      </w:r>
      <w:r>
        <w:rPr>
          <w:rFonts w:ascii="宋体" w:hAnsi="宋体" w:eastAsia="宋体"/>
          <w:sz w:val="24"/>
        </w:rPr>
        <w:t>也是完全契合的</w:t>
      </w:r>
      <w:r>
        <w:rPr>
          <w:rFonts w:hint="eastAsia" w:ascii="宋体" w:hAnsi="宋体" w:eastAsia="宋体"/>
          <w:sz w:val="24"/>
        </w:rPr>
        <w:t>。如果说其他后妃公主的文学预政是以文学以间接介入政治，那么武则天作为最高权力的执掌者，则是直接以文学为其权力的宣扬，这可以说是隋唐后宫文学传统与武则天个人才情、权势等综合作用下的结果。</w:t>
      </w:r>
    </w:p>
    <w:p>
      <w:pPr>
        <w:spacing w:line="360" w:lineRule="auto"/>
        <w:jc w:val="center"/>
        <w:rPr>
          <w:rFonts w:ascii="宋体" w:hAnsi="宋体" w:eastAsia="宋体"/>
          <w:b/>
          <w:bCs/>
          <w:sz w:val="28"/>
          <w:szCs w:val="28"/>
        </w:rPr>
      </w:pPr>
      <w:r>
        <w:rPr>
          <w:rFonts w:hint="eastAsia" w:ascii="宋体" w:hAnsi="宋体" w:eastAsia="宋体"/>
          <w:b/>
          <w:bCs/>
          <w:sz w:val="28"/>
          <w:szCs w:val="28"/>
        </w:rPr>
        <w:t>四、小结</w:t>
      </w:r>
    </w:p>
    <w:p>
      <w:pPr>
        <w:spacing w:line="360" w:lineRule="auto"/>
        <w:ind w:firstLine="480" w:firstLineChars="200"/>
        <w:rPr>
          <w:rFonts w:ascii="宋体" w:hAnsi="宋体" w:eastAsia="宋体"/>
          <w:sz w:val="24"/>
        </w:rPr>
      </w:pPr>
      <w:r>
        <w:rPr>
          <w:rFonts w:ascii="宋体" w:hAnsi="宋体" w:eastAsia="宋体"/>
          <w:sz w:val="24"/>
        </w:rPr>
        <w:t>在传统的中国古代文学史</w:t>
      </w:r>
      <w:r>
        <w:rPr>
          <w:rFonts w:hint="eastAsia" w:ascii="宋体" w:hAnsi="宋体" w:eastAsia="宋体"/>
          <w:sz w:val="24"/>
        </w:rPr>
        <w:t>叙事</w:t>
      </w:r>
      <w:r>
        <w:rPr>
          <w:rFonts w:ascii="宋体" w:hAnsi="宋体" w:eastAsia="宋体"/>
          <w:sz w:val="24"/>
        </w:rPr>
        <w:t>中，女性文学往往是作为附庸性的边缘话题而存在的，</w:t>
      </w:r>
      <w:r>
        <w:rPr>
          <w:rFonts w:hint="eastAsia" w:ascii="宋体" w:hAnsi="宋体" w:eastAsia="宋体"/>
          <w:sz w:val="24"/>
        </w:rPr>
        <w:t>本文将</w:t>
      </w:r>
      <w:r>
        <w:rPr>
          <w:rFonts w:ascii="宋体" w:hAnsi="宋体" w:eastAsia="宋体"/>
          <w:sz w:val="24"/>
        </w:rPr>
        <w:t>昭陵碑志</w:t>
      </w:r>
      <w:r>
        <w:rPr>
          <w:rFonts w:hint="eastAsia" w:ascii="宋体" w:hAnsi="宋体" w:eastAsia="宋体"/>
          <w:sz w:val="24"/>
        </w:rPr>
        <w:t>与传世文献相互参证，</w:t>
      </w:r>
      <w:r>
        <w:rPr>
          <w:rFonts w:ascii="宋体" w:hAnsi="宋体" w:eastAsia="宋体"/>
          <w:sz w:val="24"/>
        </w:rPr>
        <w:t>从文本格套、史事记录、遗文作品等方面</w:t>
      </w:r>
      <w:r>
        <w:rPr>
          <w:rFonts w:hint="eastAsia" w:ascii="宋体" w:hAnsi="宋体" w:eastAsia="宋体"/>
          <w:sz w:val="24"/>
        </w:rPr>
        <w:t>综合探讨了初唐女性文学的内涵，同时尝试在主流文学史的叙述脉络中寻找初唐女性文学的历史定位，具体而言：</w:t>
      </w:r>
    </w:p>
    <w:p>
      <w:pPr>
        <w:spacing w:line="360" w:lineRule="auto"/>
        <w:ind w:firstLine="480" w:firstLineChars="200"/>
        <w:rPr>
          <w:rFonts w:ascii="宋体" w:hAnsi="宋体" w:eastAsia="宋体"/>
          <w:sz w:val="24"/>
        </w:rPr>
      </w:pPr>
      <w:r>
        <w:rPr>
          <w:rFonts w:hint="eastAsia" w:ascii="宋体" w:hAnsi="宋体" w:eastAsia="宋体"/>
          <w:sz w:val="24"/>
        </w:rPr>
        <w:t>首先，昭陵碑志对女性文学的格套化叙述是其性别书写的环节之一。古</w:t>
      </w:r>
      <w:r>
        <w:rPr>
          <w:rFonts w:ascii="宋体" w:hAnsi="宋体" w:eastAsia="宋体"/>
          <w:sz w:val="24"/>
        </w:rPr>
        <w:t>代女性的文学活动基本都是在以男性为主导的创作范式与知识资源之下展开的，她们的碑志传记也</w:t>
      </w:r>
      <w:r>
        <w:rPr>
          <w:rFonts w:hint="eastAsia" w:ascii="宋体" w:hAnsi="宋体" w:eastAsia="宋体"/>
          <w:sz w:val="24"/>
        </w:rPr>
        <w:t>大多</w:t>
      </w:r>
      <w:r>
        <w:rPr>
          <w:rFonts w:ascii="宋体" w:hAnsi="宋体" w:eastAsia="宋体"/>
          <w:sz w:val="24"/>
        </w:rPr>
        <w:t>由男性主笔书写</w:t>
      </w:r>
      <w:r>
        <w:rPr>
          <w:rFonts w:hint="eastAsia" w:ascii="宋体" w:hAnsi="宋体" w:eastAsia="宋体"/>
          <w:sz w:val="24"/>
        </w:rPr>
        <w:t>，不过这种格套化书写还是展现了初唐上层女性圈域文学氛围的存在，更为我们理解署名为长孙皇后所作的《春游曲》提供了原生语境的支持。</w:t>
      </w:r>
    </w:p>
    <w:p>
      <w:pPr>
        <w:spacing w:line="360" w:lineRule="auto"/>
        <w:ind w:firstLine="480" w:firstLineChars="200"/>
        <w:rPr>
          <w:rFonts w:ascii="宋体" w:hAnsi="宋体" w:eastAsia="宋体"/>
          <w:sz w:val="24"/>
        </w:rPr>
      </w:pPr>
      <w:r>
        <w:rPr>
          <w:rFonts w:hint="eastAsia" w:ascii="宋体" w:hAnsi="宋体" w:eastAsia="宋体"/>
          <w:sz w:val="24"/>
        </w:rPr>
        <w:t>其次，昭陵碑志为探究宫廷女性文学的养成与应用提供了史料依托。在对于文学养成的考察环节，不仅关注女性作为受教方的情况，还重视施教方中的女师和母教等女性因素；在对于文学创作的考察环节，关注作为日常活动的私域创作与作为预政手段的严肃创作之间的张力，并以实例探讨了女性以文学进行政治参与及政治表达的实用功能。无论是世族女性以文才被选入后宫，还是宫廷女性以文学参与政治，都共同指向了</w:t>
      </w:r>
      <w:r>
        <w:rPr>
          <w:rFonts w:ascii="宋体" w:hAnsi="宋体" w:eastAsia="宋体"/>
          <w:sz w:val="24"/>
        </w:rPr>
        <w:t>初唐女性文学的政治面相与功利实用</w:t>
      </w:r>
      <w:r>
        <w:rPr>
          <w:rFonts w:hint="eastAsia" w:ascii="宋体" w:hAnsi="宋体" w:eastAsia="宋体"/>
          <w:sz w:val="24"/>
        </w:rPr>
        <w:t>。</w:t>
      </w:r>
    </w:p>
    <w:p>
      <w:pPr>
        <w:spacing w:line="360" w:lineRule="auto"/>
        <w:ind w:firstLine="480" w:firstLineChars="200"/>
        <w:rPr>
          <w:rFonts w:ascii="宋体" w:hAnsi="宋体" w:eastAsia="宋体"/>
          <w:sz w:val="24"/>
        </w:rPr>
      </w:pPr>
      <w:r>
        <w:rPr>
          <w:rFonts w:hint="eastAsia" w:ascii="宋体" w:hAnsi="宋体" w:eastAsia="宋体"/>
          <w:sz w:val="24"/>
        </w:rPr>
        <w:t>最后，昭陵《越国太妃燕氏碑》保留了初唐女性文学的重要遗文。如果说后妃公主的文学预政是无法直接参政而选择的借力或投机，那么武后对于文学、宗教等文化资源的融汇运用则是以文行权的高调之举，燕太妃碑中全文记录的两篇涉佛铭文正是武后这种创作立场的实践案例，而燕太妃碑也可以被视为许敬宗贯彻武则天意志的实物见证。</w:t>
      </w:r>
    </w:p>
    <w:sectPr>
      <w:footerReference r:id="rId4" w:type="default"/>
      <w:footerReference r:id="rId5" w:type="even"/>
      <w:footnotePr>
        <w:numFmt w:val="decimalEnclosedCircleChinese"/>
        <w:numRestart w:val="eachPage"/>
      </w:footnotePr>
      <w:pgSz w:w="11906" w:h="16838"/>
      <w:pgMar w:top="1440" w:right="1080" w:bottom="1440" w:left="108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等线">
    <w:panose1 w:val="02010600030101010101"/>
    <w:charset w:val="86"/>
    <w:family w:val="auto"/>
    <w:pitch w:val="default"/>
    <w:sig w:usb0="A00002BF" w:usb1="38CF7CFA" w:usb2="00000016" w:usb3="00000000" w:csb0="0004000F" w:csb1="00000000"/>
  </w:font>
  <w:font w:name="楷体">
    <w:panose1 w:val="02010609060101010101"/>
    <w:charset w:val="86"/>
    <w:family w:val="modern"/>
    <w:pitch w:val="default"/>
    <w:sig w:usb0="800002BF" w:usb1="38CF7CFA" w:usb2="00000016" w:usb3="00000000" w:csb0="00040001" w:csb1="00000000"/>
  </w:font>
  <w:font w:name="仿宋">
    <w:panose1 w:val="02010609060101010101"/>
    <w:charset w:val="86"/>
    <w:family w:val="modern"/>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rPr>
        <w:rStyle w:val="8"/>
      </w:rPr>
      <w:id w:val="-1966335560"/>
      <w:docPartObj>
        <w:docPartGallery w:val="autotext"/>
      </w:docPartObj>
    </w:sdtPr>
    <w:sdtEndPr>
      <w:rPr>
        <w:rStyle w:val="8"/>
      </w:rPr>
    </w:sdtEndPr>
    <w:sdtContent>
      <w:p>
        <w:pPr>
          <w:pStyle w:val="3"/>
          <w:framePr w:wrap="auto" w:vAnchor="text" w:hAnchor="margin" w:xAlign="center" w:y="1"/>
          <w:rPr>
            <w:rStyle w:val="8"/>
          </w:rPr>
        </w:pPr>
        <w:r>
          <w:rPr>
            <w:rStyle w:val="8"/>
          </w:rPr>
          <w:fldChar w:fldCharType="begin"/>
        </w:r>
        <w:r>
          <w:rPr>
            <w:rStyle w:val="8"/>
          </w:rPr>
          <w:instrText xml:space="preserve"> PAGE </w:instrText>
        </w:r>
        <w:r>
          <w:rPr>
            <w:rStyle w:val="8"/>
          </w:rPr>
          <w:fldChar w:fldCharType="separate"/>
        </w:r>
        <w:r>
          <w:rPr>
            <w:rStyle w:val="8"/>
          </w:rPr>
          <w:t>1</w:t>
        </w:r>
        <w:r>
          <w:rPr>
            <w:rStyle w:val="8"/>
          </w:rPr>
          <w:fldChar w:fldCharType="end"/>
        </w:r>
      </w:p>
    </w:sdtContent>
  </w:sdt>
  <w:p>
    <w:pPr>
      <w:pStyle w:val="3"/>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rPr>
        <w:rStyle w:val="8"/>
      </w:rPr>
      <w:id w:val="-1549369500"/>
      <w:docPartObj>
        <w:docPartGallery w:val="autotext"/>
      </w:docPartObj>
    </w:sdtPr>
    <w:sdtEndPr>
      <w:rPr>
        <w:rStyle w:val="8"/>
      </w:rPr>
    </w:sdtEndPr>
    <w:sdtContent>
      <w:p>
        <w:pPr>
          <w:pStyle w:val="3"/>
          <w:framePr w:wrap="auto" w:vAnchor="text" w:hAnchor="margin" w:xAlign="center" w:y="1"/>
          <w:rPr>
            <w:rStyle w:val="8"/>
          </w:rPr>
        </w:pPr>
        <w:r>
          <w:rPr>
            <w:rStyle w:val="8"/>
          </w:rPr>
          <w:fldChar w:fldCharType="begin"/>
        </w:r>
        <w:r>
          <w:rPr>
            <w:rStyle w:val="8"/>
          </w:rPr>
          <w:instrText xml:space="preserve"> PAGE </w:instrText>
        </w:r>
        <w:r>
          <w:rPr>
            <w:rStyle w:val="8"/>
          </w:rPr>
          <w:fldChar w:fldCharType="end"/>
        </w:r>
      </w:p>
    </w:sdtContent>
  </w:sdt>
  <w:p>
    <w:pPr>
      <w:pStyle w:val="3"/>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106">
    <w:p>
      <w:r>
        <w:separator/>
      </w:r>
    </w:p>
  </w:footnote>
  <w:footnote w:type="continuationSeparator" w:id="107">
    <w:p>
      <w:r>
        <w:continuationSeparator/>
      </w:r>
    </w:p>
  </w:footnote>
  <w:footnote w:id="0">
    <w:p>
      <w:pPr>
        <w:pStyle w:val="5"/>
        <w:spacing w:line="276" w:lineRule="auto"/>
        <w:ind w:left="420" w:leftChars="200"/>
        <w:rPr>
          <w:rFonts w:ascii="仿宋" w:hAnsi="仿宋" w:eastAsia="仿宋"/>
          <w:color w:val="000000" w:themeColor="text1"/>
          <w14:textFill>
            <w14:solidFill>
              <w14:schemeClr w14:val="tx1"/>
            </w14:solidFill>
          </w14:textFill>
        </w:rPr>
      </w:pPr>
      <w:r>
        <w:rPr>
          <w:rFonts w:hint="eastAsia" w:ascii="黑体" w:hAnsi="黑体" w:eastAsia="黑体"/>
          <w:color w:val="000000" w:themeColor="text1"/>
          <w14:textFill>
            <w14:solidFill>
              <w14:schemeClr w14:val="tx1"/>
            </w14:solidFill>
          </w14:textFill>
        </w:rPr>
        <w:t>作者简介</w:t>
      </w:r>
      <w:r>
        <w:rPr>
          <w:rFonts w:hint="eastAsia" w:ascii="仿宋" w:hAnsi="仿宋" w:eastAsia="仿宋"/>
          <w:color w:val="000000" w:themeColor="text1"/>
          <w14:textFill>
            <w14:solidFill>
              <w14:schemeClr w14:val="tx1"/>
            </w14:solidFill>
          </w14:textFill>
        </w:rPr>
        <w:t>：徐焕，中国社会科学院文学研究所助理研究员，</w:t>
      </w:r>
      <w:r>
        <w:rPr>
          <w:rFonts w:ascii="仿宋" w:hAnsi="仿宋" w:eastAsia="仿宋"/>
          <w:color w:val="000000" w:themeColor="text1"/>
          <w14:textFill>
            <w14:solidFill>
              <w14:schemeClr w14:val="tx1"/>
            </w14:solidFill>
          </w14:textFill>
        </w:rPr>
        <w:t>100732</w:t>
      </w:r>
      <w:r>
        <w:rPr>
          <w:rFonts w:hint="eastAsia" w:ascii="仿宋" w:hAnsi="仿宋" w:eastAsia="仿宋"/>
          <w:color w:val="000000" w:themeColor="text1"/>
          <w14:textFill>
            <w14:solidFill>
              <w14:schemeClr w14:val="tx1"/>
            </w14:solidFill>
          </w14:textFill>
        </w:rPr>
        <w:t>。</w:t>
      </w:r>
    </w:p>
    <w:p>
      <w:pPr>
        <w:pStyle w:val="5"/>
        <w:spacing w:line="276" w:lineRule="auto"/>
        <w:ind w:left="420" w:leftChars="200"/>
        <w:rPr>
          <w:rFonts w:ascii="仿宋" w:hAnsi="仿宋" w:eastAsia="仿宋"/>
          <w:color w:val="000000" w:themeColor="text1"/>
          <w14:textFill>
            <w14:solidFill>
              <w14:schemeClr w14:val="tx1"/>
            </w14:solidFill>
          </w14:textFill>
        </w:rPr>
      </w:pPr>
      <w:r>
        <w:rPr>
          <w:rFonts w:hint="eastAsia" w:ascii="黑体" w:hAnsi="黑体" w:eastAsia="黑体"/>
          <w:color w:val="000000" w:themeColor="text1"/>
          <w14:textFill>
            <w14:solidFill>
              <w14:schemeClr w14:val="tx1"/>
            </w14:solidFill>
          </w14:textFill>
        </w:rPr>
        <w:t>基金项目</w:t>
      </w:r>
      <w:r>
        <w:rPr>
          <w:rFonts w:hint="eastAsia" w:ascii="仿宋" w:hAnsi="仿宋" w:eastAsia="仿宋"/>
          <w:color w:val="000000" w:themeColor="text1"/>
          <w14:textFill>
            <w14:solidFill>
              <w14:schemeClr w14:val="tx1"/>
            </w14:solidFill>
          </w14:textFill>
        </w:rPr>
        <w:t>：本文系国家社科基金青年项目“</w:t>
      </w:r>
      <w:r>
        <w:rPr>
          <w:rFonts w:ascii="仿宋" w:hAnsi="仿宋" w:eastAsia="仿宋"/>
          <w:color w:val="000000" w:themeColor="text1"/>
          <w14:textFill>
            <w14:solidFill>
              <w14:schemeClr w14:val="tx1"/>
            </w14:solidFill>
          </w14:textFill>
        </w:rPr>
        <w:t>唐代鸳鸯墓志整理与研究</w:t>
      </w:r>
      <w:r>
        <w:rPr>
          <w:rFonts w:hint="eastAsia" w:ascii="仿宋" w:hAnsi="仿宋" w:eastAsia="仿宋"/>
          <w:color w:val="000000" w:themeColor="text1"/>
          <w14:textFill>
            <w14:solidFill>
              <w14:schemeClr w14:val="tx1"/>
            </w14:solidFill>
          </w14:textFill>
        </w:rPr>
        <w:t>”（</w:t>
      </w:r>
      <w:r>
        <w:rPr>
          <w:rFonts w:ascii="仿宋" w:hAnsi="仿宋" w:eastAsia="仿宋"/>
          <w:color w:val="000000" w:themeColor="text1"/>
          <w14:textFill>
            <w14:solidFill>
              <w14:schemeClr w14:val="tx1"/>
            </w14:solidFill>
          </w14:textFill>
        </w:rPr>
        <w:t>22CZW019</w:t>
      </w:r>
      <w:r>
        <w:rPr>
          <w:rFonts w:hint="eastAsia" w:ascii="仿宋" w:hAnsi="仿宋" w:eastAsia="仿宋"/>
          <w:color w:val="000000" w:themeColor="text1"/>
          <w14:textFill>
            <w14:solidFill>
              <w14:schemeClr w14:val="tx1"/>
            </w14:solidFill>
          </w14:textFill>
        </w:rPr>
        <w:t>）阶段性成果。</w:t>
      </w:r>
    </w:p>
    <w:p>
      <w:pPr>
        <w:pStyle w:val="5"/>
        <w:spacing w:line="276" w:lineRule="auto"/>
        <w:ind w:left="420" w:leftChars="200"/>
        <w:rPr>
          <w:rFonts w:ascii="仿宋" w:hAnsi="仿宋" w:eastAsia="仿宋"/>
          <w:color w:val="000000" w:themeColor="text1"/>
          <w14:textFill>
            <w14:solidFill>
              <w14:schemeClr w14:val="tx1"/>
            </w14:solidFill>
          </w14:textFill>
        </w:rPr>
      </w:pPr>
      <w:r>
        <w:rPr>
          <w:rFonts w:ascii="仿宋" w:hAnsi="仿宋" w:eastAsia="仿宋"/>
          <w:color w:val="000000" w:themeColor="text1"/>
          <w14:textFill>
            <w14:solidFill>
              <w14:schemeClr w14:val="tx1"/>
            </w14:solidFill>
          </w14:textFill>
        </w:rPr>
        <w:footnoteRef/>
      </w:r>
      <w:r>
        <w:rPr>
          <w:rFonts w:ascii="仿宋" w:hAnsi="仿宋" w:eastAsia="仿宋"/>
          <w:color w:val="000000" w:themeColor="text1"/>
          <w14:textFill>
            <w14:solidFill>
              <w14:schemeClr w14:val="tx1"/>
            </w14:solidFill>
          </w14:textFill>
        </w:rPr>
        <w:t xml:space="preserve"> </w:t>
      </w:r>
      <w:r>
        <w:rPr>
          <w:rFonts w:hint="eastAsia" w:ascii="仿宋" w:hAnsi="仿宋" w:eastAsia="仿宋"/>
          <w:color w:val="000000" w:themeColor="text1"/>
          <w14:textFill>
            <w14:solidFill>
              <w14:schemeClr w14:val="tx1"/>
            </w14:solidFill>
          </w14:textFill>
        </w:rPr>
        <w:t>参见〔宋</w:t>
      </w:r>
      <w:r>
        <w:rPr>
          <w:rFonts w:ascii="仿宋" w:hAnsi="仿宋" w:eastAsia="仿宋"/>
          <w:color w:val="000000" w:themeColor="text1"/>
          <w14:textFill>
            <w14:solidFill>
              <w14:schemeClr w14:val="tx1"/>
            </w14:solidFill>
          </w14:textFill>
        </w:rPr>
        <w:t>〕</w:t>
      </w:r>
      <w:r>
        <w:rPr>
          <w:rFonts w:hint="eastAsia" w:ascii="仿宋" w:hAnsi="仿宋" w:eastAsia="仿宋"/>
          <w:color w:val="000000" w:themeColor="text1"/>
          <w14:textFill>
            <w14:solidFill>
              <w14:schemeClr w14:val="tx1"/>
            </w14:solidFill>
          </w14:textFill>
        </w:rPr>
        <w:t>王溥：《唐会要》卷二一，中华书局1</w:t>
      </w:r>
      <w:r>
        <w:rPr>
          <w:rFonts w:ascii="仿宋" w:hAnsi="仿宋" w:eastAsia="仿宋"/>
          <w:color w:val="000000" w:themeColor="text1"/>
          <w14:textFill>
            <w14:solidFill>
              <w14:schemeClr w14:val="tx1"/>
            </w14:solidFill>
          </w14:textFill>
        </w:rPr>
        <w:t>955</w:t>
      </w:r>
      <w:r>
        <w:rPr>
          <w:rFonts w:hint="eastAsia" w:ascii="仿宋" w:hAnsi="仿宋" w:eastAsia="仿宋"/>
          <w:color w:val="000000" w:themeColor="text1"/>
          <w14:textFill>
            <w14:solidFill>
              <w14:schemeClr w14:val="tx1"/>
            </w14:solidFill>
          </w14:textFill>
        </w:rPr>
        <w:t>年版，第4</w:t>
      </w:r>
      <w:r>
        <w:rPr>
          <w:rFonts w:ascii="仿宋" w:hAnsi="仿宋" w:eastAsia="仿宋"/>
          <w:color w:val="000000" w:themeColor="text1"/>
          <w14:textFill>
            <w14:solidFill>
              <w14:schemeClr w14:val="tx1"/>
            </w14:solidFill>
          </w14:textFill>
        </w:rPr>
        <w:t>12-414</w:t>
      </w:r>
      <w:r>
        <w:rPr>
          <w:rFonts w:hint="eastAsia" w:ascii="仿宋" w:hAnsi="仿宋" w:eastAsia="仿宋"/>
          <w:color w:val="000000" w:themeColor="text1"/>
          <w14:textFill>
            <w14:solidFill>
              <w14:schemeClr w14:val="tx1"/>
            </w14:solidFill>
          </w14:textFill>
        </w:rPr>
        <w:t>页。</w:t>
      </w:r>
    </w:p>
  </w:footnote>
  <w:footnote w:id="1">
    <w:p>
      <w:pPr>
        <w:pStyle w:val="5"/>
        <w:spacing w:line="276" w:lineRule="auto"/>
        <w:ind w:left="420" w:leftChars="200"/>
        <w:rPr>
          <w:rFonts w:ascii="仿宋" w:hAnsi="仿宋" w:eastAsia="仿宋"/>
          <w:color w:val="000000" w:themeColor="text1"/>
          <w14:textFill>
            <w14:solidFill>
              <w14:schemeClr w14:val="tx1"/>
            </w14:solidFill>
          </w14:textFill>
        </w:rPr>
      </w:pPr>
      <w:r>
        <w:rPr>
          <w:rFonts w:ascii="仿宋" w:hAnsi="仿宋" w:eastAsia="仿宋"/>
          <w:color w:val="000000" w:themeColor="text1"/>
          <w14:textFill>
            <w14:solidFill>
              <w14:schemeClr w14:val="tx1"/>
            </w14:solidFill>
          </w14:textFill>
        </w:rPr>
        <w:footnoteRef/>
      </w:r>
      <w:r>
        <w:rPr>
          <w:rFonts w:ascii="仿宋" w:hAnsi="仿宋" w:eastAsia="仿宋"/>
          <w:color w:val="000000" w:themeColor="text1"/>
          <w14:textFill>
            <w14:solidFill>
              <w14:schemeClr w14:val="tx1"/>
            </w14:solidFill>
          </w14:textFill>
        </w:rPr>
        <w:t xml:space="preserve"> </w:t>
      </w:r>
      <w:r>
        <w:rPr>
          <w:rFonts w:hint="eastAsia" w:ascii="仿宋" w:hAnsi="仿宋" w:eastAsia="仿宋"/>
          <w:color w:val="000000" w:themeColor="text1"/>
          <w14:textFill>
            <w14:solidFill>
              <w14:schemeClr w14:val="tx1"/>
            </w14:solidFill>
          </w14:textFill>
        </w:rPr>
        <w:t>参见张沛：《</w:t>
      </w:r>
      <w:r>
        <w:rPr>
          <w:rFonts w:ascii="仿宋" w:hAnsi="仿宋" w:eastAsia="仿宋"/>
          <w:color w:val="000000" w:themeColor="text1"/>
          <w14:textFill>
            <w14:solidFill>
              <w14:schemeClr w14:val="tx1"/>
            </w14:solidFill>
          </w14:textFill>
        </w:rPr>
        <w:t>唐昭陵陪葬名位综考</w:t>
      </w:r>
      <w:r>
        <w:rPr>
          <w:rFonts w:hint="eastAsia" w:ascii="仿宋" w:hAnsi="仿宋" w:eastAsia="仿宋"/>
          <w:color w:val="000000" w:themeColor="text1"/>
          <w14:textFill>
            <w14:solidFill>
              <w14:schemeClr w14:val="tx1"/>
            </w14:solidFill>
          </w14:textFill>
        </w:rPr>
        <w:t>（上）：</w:t>
      </w:r>
      <w:r>
        <w:rPr>
          <w:rFonts w:ascii="仿宋" w:hAnsi="仿宋" w:eastAsia="仿宋"/>
          <w:color w:val="000000" w:themeColor="text1"/>
          <w14:textFill>
            <w14:solidFill>
              <w14:schemeClr w14:val="tx1"/>
            </w14:solidFill>
          </w14:textFill>
        </w:rPr>
        <w:t>昭陵碑石研究之一</w:t>
      </w:r>
      <w:r>
        <w:rPr>
          <w:rFonts w:hint="eastAsia" w:ascii="仿宋" w:hAnsi="仿宋" w:eastAsia="仿宋"/>
          <w:color w:val="000000" w:themeColor="text1"/>
          <w14:textFill>
            <w14:solidFill>
              <w14:schemeClr w14:val="tx1"/>
            </w14:solidFill>
          </w14:textFill>
        </w:rPr>
        <w:t>》，《</w:t>
      </w:r>
      <w:r>
        <w:rPr>
          <w:rFonts w:ascii="仿宋" w:hAnsi="仿宋" w:eastAsia="仿宋"/>
          <w:color w:val="000000" w:themeColor="text1"/>
          <w14:textFill>
            <w14:solidFill>
              <w14:schemeClr w14:val="tx1"/>
            </w14:solidFill>
          </w14:textFill>
        </w:rPr>
        <w:t>碑林集刊</w:t>
      </w:r>
      <w:r>
        <w:rPr>
          <w:rFonts w:hint="eastAsia" w:ascii="仿宋" w:hAnsi="仿宋" w:eastAsia="仿宋"/>
          <w:color w:val="000000" w:themeColor="text1"/>
          <w14:textFill>
            <w14:solidFill>
              <w14:schemeClr w14:val="tx1"/>
            </w14:solidFill>
          </w14:textFill>
        </w:rPr>
        <w:t>》第1</w:t>
      </w:r>
      <w:r>
        <w:rPr>
          <w:rFonts w:ascii="仿宋" w:hAnsi="仿宋" w:eastAsia="仿宋"/>
          <w:color w:val="000000" w:themeColor="text1"/>
          <w14:textFill>
            <w14:solidFill>
              <w14:schemeClr w14:val="tx1"/>
            </w14:solidFill>
          </w14:textFill>
        </w:rPr>
        <w:t>3</w:t>
      </w:r>
      <w:r>
        <w:rPr>
          <w:rFonts w:hint="eastAsia" w:ascii="仿宋" w:hAnsi="仿宋" w:eastAsia="仿宋"/>
          <w:color w:val="000000" w:themeColor="text1"/>
          <w14:textFill>
            <w14:solidFill>
              <w14:schemeClr w14:val="tx1"/>
            </w14:solidFill>
          </w14:textFill>
        </w:rPr>
        <w:t>辑，</w:t>
      </w:r>
      <w:r>
        <w:rPr>
          <w:rFonts w:ascii="仿宋" w:hAnsi="仿宋" w:eastAsia="仿宋"/>
          <w:color w:val="000000" w:themeColor="text1"/>
          <w14:textFill>
            <w14:solidFill>
              <w14:schemeClr w14:val="tx1"/>
            </w14:solidFill>
          </w14:textFill>
        </w:rPr>
        <w:t>陕西人民美术出版社</w:t>
      </w:r>
      <w:r>
        <w:rPr>
          <w:rFonts w:hint="eastAsia" w:ascii="仿宋" w:hAnsi="仿宋" w:eastAsia="仿宋"/>
          <w:color w:val="000000" w:themeColor="text1"/>
          <w14:textFill>
            <w14:solidFill>
              <w14:schemeClr w14:val="tx1"/>
            </w14:solidFill>
          </w14:textFill>
        </w:rPr>
        <w:t>2</w:t>
      </w:r>
      <w:r>
        <w:rPr>
          <w:rFonts w:ascii="仿宋" w:hAnsi="仿宋" w:eastAsia="仿宋"/>
          <w:color w:val="000000" w:themeColor="text1"/>
          <w14:textFill>
            <w14:solidFill>
              <w14:schemeClr w14:val="tx1"/>
            </w14:solidFill>
          </w14:textFill>
        </w:rPr>
        <w:t>008</w:t>
      </w:r>
      <w:r>
        <w:rPr>
          <w:rFonts w:hint="eastAsia" w:ascii="仿宋" w:hAnsi="仿宋" w:eastAsia="仿宋"/>
          <w:color w:val="000000" w:themeColor="text1"/>
          <w14:textFill>
            <w14:solidFill>
              <w14:schemeClr w14:val="tx1"/>
            </w14:solidFill>
          </w14:textFill>
        </w:rPr>
        <w:t>年版，第1</w:t>
      </w:r>
      <w:r>
        <w:rPr>
          <w:rFonts w:ascii="仿宋" w:hAnsi="仿宋" w:eastAsia="仿宋"/>
          <w:color w:val="000000" w:themeColor="text1"/>
          <w14:textFill>
            <w14:solidFill>
              <w14:schemeClr w14:val="tx1"/>
            </w14:solidFill>
          </w14:textFill>
        </w:rPr>
        <w:t>57-175</w:t>
      </w:r>
      <w:r>
        <w:rPr>
          <w:rFonts w:hint="eastAsia" w:ascii="仿宋" w:hAnsi="仿宋" w:eastAsia="仿宋"/>
          <w:color w:val="000000" w:themeColor="text1"/>
          <w14:textFill>
            <w14:solidFill>
              <w14:schemeClr w14:val="tx1"/>
            </w14:solidFill>
          </w14:textFill>
        </w:rPr>
        <w:t>页；张沛：《</w:t>
      </w:r>
      <w:r>
        <w:rPr>
          <w:rFonts w:ascii="仿宋" w:hAnsi="仿宋" w:eastAsia="仿宋"/>
          <w:color w:val="000000" w:themeColor="text1"/>
          <w14:textFill>
            <w14:solidFill>
              <w14:schemeClr w14:val="tx1"/>
            </w14:solidFill>
          </w14:textFill>
        </w:rPr>
        <w:t>唐昭陵陪葬名位综考</w:t>
      </w:r>
      <w:r>
        <w:rPr>
          <w:rFonts w:hint="eastAsia" w:ascii="仿宋" w:hAnsi="仿宋" w:eastAsia="仿宋"/>
          <w:color w:val="000000" w:themeColor="text1"/>
          <w14:textFill>
            <w14:solidFill>
              <w14:schemeClr w14:val="tx1"/>
            </w14:solidFill>
          </w14:textFill>
        </w:rPr>
        <w:t>（下）：</w:t>
      </w:r>
      <w:r>
        <w:rPr>
          <w:rFonts w:ascii="仿宋" w:hAnsi="仿宋" w:eastAsia="仿宋"/>
          <w:color w:val="000000" w:themeColor="text1"/>
          <w14:textFill>
            <w14:solidFill>
              <w14:schemeClr w14:val="tx1"/>
            </w14:solidFill>
          </w14:textFill>
        </w:rPr>
        <w:t>昭陵碑石研究之一</w:t>
      </w:r>
      <w:r>
        <w:rPr>
          <w:rFonts w:hint="eastAsia" w:ascii="仿宋" w:hAnsi="仿宋" w:eastAsia="仿宋"/>
          <w:color w:val="000000" w:themeColor="text1"/>
          <w14:textFill>
            <w14:solidFill>
              <w14:schemeClr w14:val="tx1"/>
            </w14:solidFill>
          </w14:textFill>
        </w:rPr>
        <w:t>》，《</w:t>
      </w:r>
      <w:r>
        <w:rPr>
          <w:rFonts w:ascii="仿宋" w:hAnsi="仿宋" w:eastAsia="仿宋"/>
          <w:color w:val="000000" w:themeColor="text1"/>
          <w14:textFill>
            <w14:solidFill>
              <w14:schemeClr w14:val="tx1"/>
            </w14:solidFill>
          </w14:textFill>
        </w:rPr>
        <w:t>碑林集刊</w:t>
      </w:r>
      <w:r>
        <w:rPr>
          <w:rFonts w:hint="eastAsia" w:ascii="仿宋" w:hAnsi="仿宋" w:eastAsia="仿宋"/>
          <w:color w:val="000000" w:themeColor="text1"/>
          <w14:textFill>
            <w14:solidFill>
              <w14:schemeClr w14:val="tx1"/>
            </w14:solidFill>
          </w14:textFill>
        </w:rPr>
        <w:t>》第1</w:t>
      </w:r>
      <w:r>
        <w:rPr>
          <w:rFonts w:ascii="仿宋" w:hAnsi="仿宋" w:eastAsia="仿宋"/>
          <w:color w:val="000000" w:themeColor="text1"/>
          <w14:textFill>
            <w14:solidFill>
              <w14:schemeClr w14:val="tx1"/>
            </w14:solidFill>
          </w14:textFill>
        </w:rPr>
        <w:t>4</w:t>
      </w:r>
      <w:r>
        <w:rPr>
          <w:rFonts w:hint="eastAsia" w:ascii="仿宋" w:hAnsi="仿宋" w:eastAsia="仿宋"/>
          <w:color w:val="000000" w:themeColor="text1"/>
          <w14:textFill>
            <w14:solidFill>
              <w14:schemeClr w14:val="tx1"/>
            </w14:solidFill>
          </w14:textFill>
        </w:rPr>
        <w:t>辑，</w:t>
      </w:r>
      <w:r>
        <w:rPr>
          <w:rFonts w:ascii="仿宋" w:hAnsi="仿宋" w:eastAsia="仿宋"/>
          <w:color w:val="000000" w:themeColor="text1"/>
          <w14:textFill>
            <w14:solidFill>
              <w14:schemeClr w14:val="tx1"/>
            </w14:solidFill>
          </w14:textFill>
        </w:rPr>
        <w:t>陕西人民美术出版社</w:t>
      </w:r>
      <w:r>
        <w:rPr>
          <w:rFonts w:hint="eastAsia" w:ascii="仿宋" w:hAnsi="仿宋" w:eastAsia="仿宋"/>
          <w:color w:val="000000" w:themeColor="text1"/>
          <w14:textFill>
            <w14:solidFill>
              <w14:schemeClr w14:val="tx1"/>
            </w14:solidFill>
          </w14:textFill>
        </w:rPr>
        <w:t>2</w:t>
      </w:r>
      <w:r>
        <w:rPr>
          <w:rFonts w:ascii="仿宋" w:hAnsi="仿宋" w:eastAsia="仿宋"/>
          <w:color w:val="000000" w:themeColor="text1"/>
          <w14:textFill>
            <w14:solidFill>
              <w14:schemeClr w14:val="tx1"/>
            </w14:solidFill>
          </w14:textFill>
        </w:rPr>
        <w:t>009</w:t>
      </w:r>
      <w:r>
        <w:rPr>
          <w:rFonts w:hint="eastAsia" w:ascii="仿宋" w:hAnsi="仿宋" w:eastAsia="仿宋"/>
          <w:color w:val="000000" w:themeColor="text1"/>
          <w14:textFill>
            <w14:solidFill>
              <w14:schemeClr w14:val="tx1"/>
            </w14:solidFill>
          </w14:textFill>
        </w:rPr>
        <w:t>年版，第3</w:t>
      </w:r>
      <w:r>
        <w:rPr>
          <w:rFonts w:ascii="仿宋" w:hAnsi="仿宋" w:eastAsia="仿宋"/>
          <w:color w:val="000000" w:themeColor="text1"/>
          <w14:textFill>
            <w14:solidFill>
              <w14:schemeClr w14:val="tx1"/>
            </w14:solidFill>
          </w14:textFill>
        </w:rPr>
        <w:t>48-370</w:t>
      </w:r>
      <w:r>
        <w:rPr>
          <w:rFonts w:hint="eastAsia" w:ascii="仿宋" w:hAnsi="仿宋" w:eastAsia="仿宋"/>
          <w:color w:val="000000" w:themeColor="text1"/>
          <w14:textFill>
            <w14:solidFill>
              <w14:schemeClr w14:val="tx1"/>
            </w14:solidFill>
          </w14:textFill>
        </w:rPr>
        <w:t>页。</w:t>
      </w:r>
    </w:p>
  </w:footnote>
  <w:footnote w:id="2">
    <w:p>
      <w:pPr>
        <w:pStyle w:val="5"/>
        <w:spacing w:line="276" w:lineRule="auto"/>
        <w:ind w:left="420" w:leftChars="200"/>
        <w:rPr>
          <w:rFonts w:ascii="仿宋" w:hAnsi="仿宋" w:eastAsia="仿宋"/>
          <w:color w:val="000000" w:themeColor="text1"/>
          <w14:textFill>
            <w14:solidFill>
              <w14:schemeClr w14:val="tx1"/>
            </w14:solidFill>
          </w14:textFill>
        </w:rPr>
      </w:pPr>
      <w:r>
        <w:rPr>
          <w:rFonts w:ascii="仿宋" w:hAnsi="仿宋" w:eastAsia="仿宋"/>
          <w:color w:val="000000" w:themeColor="text1"/>
          <w14:textFill>
            <w14:solidFill>
              <w14:schemeClr w14:val="tx1"/>
            </w14:solidFill>
          </w14:textFill>
        </w:rPr>
        <w:footnoteRef/>
      </w:r>
      <w:r>
        <w:rPr>
          <w:rFonts w:ascii="仿宋" w:hAnsi="仿宋" w:eastAsia="仿宋"/>
          <w:color w:val="000000" w:themeColor="text1"/>
          <w14:textFill>
            <w14:solidFill>
              <w14:schemeClr w14:val="tx1"/>
            </w14:solidFill>
          </w14:textFill>
        </w:rPr>
        <w:t xml:space="preserve"> </w:t>
      </w:r>
      <w:r>
        <w:rPr>
          <w:rFonts w:hint="eastAsia" w:ascii="仿宋" w:hAnsi="仿宋" w:eastAsia="仿宋"/>
          <w:color w:val="000000" w:themeColor="text1"/>
          <w14:textFill>
            <w14:solidFill>
              <w14:schemeClr w14:val="tx1"/>
            </w14:solidFill>
          </w14:textFill>
        </w:rPr>
        <w:t>胡明：《关于中国古代的妇女文学》，《文学评论》1</w:t>
      </w:r>
      <w:r>
        <w:rPr>
          <w:rFonts w:ascii="仿宋" w:hAnsi="仿宋" w:eastAsia="仿宋"/>
          <w:color w:val="000000" w:themeColor="text1"/>
          <w14:textFill>
            <w14:solidFill>
              <w14:schemeClr w14:val="tx1"/>
            </w14:solidFill>
          </w14:textFill>
        </w:rPr>
        <w:t>995</w:t>
      </w:r>
      <w:r>
        <w:rPr>
          <w:rFonts w:hint="eastAsia" w:ascii="仿宋" w:hAnsi="仿宋" w:eastAsia="仿宋"/>
          <w:color w:val="000000" w:themeColor="text1"/>
          <w14:textFill>
            <w14:solidFill>
              <w14:schemeClr w14:val="tx1"/>
            </w14:solidFill>
          </w14:textFill>
        </w:rPr>
        <w:t>年第3期，第1</w:t>
      </w:r>
      <w:r>
        <w:rPr>
          <w:rFonts w:ascii="仿宋" w:hAnsi="仿宋" w:eastAsia="仿宋"/>
          <w:color w:val="000000" w:themeColor="text1"/>
          <w14:textFill>
            <w14:solidFill>
              <w14:schemeClr w14:val="tx1"/>
            </w14:solidFill>
          </w14:textFill>
        </w:rPr>
        <w:t>00</w:t>
      </w:r>
      <w:r>
        <w:rPr>
          <w:rFonts w:hint="eastAsia" w:ascii="仿宋" w:hAnsi="仿宋" w:eastAsia="仿宋"/>
          <w:color w:val="000000" w:themeColor="text1"/>
          <w14:textFill>
            <w14:solidFill>
              <w14:schemeClr w14:val="tx1"/>
            </w14:solidFill>
          </w14:textFill>
        </w:rPr>
        <w:t>页。</w:t>
      </w:r>
    </w:p>
  </w:footnote>
  <w:footnote w:id="3">
    <w:p>
      <w:pPr>
        <w:pStyle w:val="5"/>
        <w:spacing w:line="276" w:lineRule="auto"/>
        <w:ind w:left="420" w:leftChars="200"/>
        <w:rPr>
          <w:rFonts w:ascii="仿宋" w:hAnsi="仿宋" w:eastAsia="仿宋"/>
          <w:color w:val="000000" w:themeColor="text1"/>
          <w14:textFill>
            <w14:solidFill>
              <w14:schemeClr w14:val="tx1"/>
            </w14:solidFill>
          </w14:textFill>
        </w:rPr>
      </w:pPr>
      <w:r>
        <w:rPr>
          <w:rFonts w:ascii="仿宋" w:hAnsi="仿宋" w:eastAsia="仿宋"/>
          <w:color w:val="000000" w:themeColor="text1"/>
          <w14:textFill>
            <w14:solidFill>
              <w14:schemeClr w14:val="tx1"/>
            </w14:solidFill>
          </w14:textFill>
        </w:rPr>
        <w:footnoteRef/>
      </w:r>
      <w:r>
        <w:rPr>
          <w:rFonts w:hint="eastAsia" w:ascii="仿宋" w:hAnsi="仿宋" w:eastAsia="仿宋"/>
          <w:color w:val="000000" w:themeColor="text1"/>
          <w14:textFill>
            <w14:solidFill>
              <w14:schemeClr w14:val="tx1"/>
            </w14:solidFill>
          </w14:textFill>
        </w:rPr>
        <w:t xml:space="preserve"> 张沛：《昭陵碑石》，三秦出版社1</w:t>
      </w:r>
      <w:r>
        <w:rPr>
          <w:rFonts w:ascii="仿宋" w:hAnsi="仿宋" w:eastAsia="仿宋"/>
          <w:color w:val="000000" w:themeColor="text1"/>
          <w14:textFill>
            <w14:solidFill>
              <w14:schemeClr w14:val="tx1"/>
            </w14:solidFill>
          </w14:textFill>
        </w:rPr>
        <w:t>993</w:t>
      </w:r>
      <w:r>
        <w:rPr>
          <w:rFonts w:hint="eastAsia" w:ascii="仿宋" w:hAnsi="仿宋" w:eastAsia="仿宋"/>
          <w:color w:val="000000" w:themeColor="text1"/>
          <w14:textFill>
            <w14:solidFill>
              <w14:schemeClr w14:val="tx1"/>
            </w14:solidFill>
          </w14:textFill>
        </w:rPr>
        <w:t>年版，第168页。</w:t>
      </w:r>
    </w:p>
  </w:footnote>
  <w:footnote w:id="4">
    <w:p>
      <w:pPr>
        <w:pStyle w:val="5"/>
        <w:spacing w:line="276" w:lineRule="auto"/>
        <w:ind w:left="420" w:leftChars="200"/>
        <w:rPr>
          <w:rFonts w:ascii="仿宋" w:hAnsi="仿宋" w:eastAsia="仿宋"/>
          <w:color w:val="000000" w:themeColor="text1"/>
          <w14:textFill>
            <w14:solidFill>
              <w14:schemeClr w14:val="tx1"/>
            </w14:solidFill>
          </w14:textFill>
        </w:rPr>
      </w:pPr>
      <w:r>
        <w:rPr>
          <w:rFonts w:ascii="仿宋" w:hAnsi="仿宋" w:eastAsia="仿宋"/>
          <w:color w:val="000000" w:themeColor="text1"/>
          <w14:textFill>
            <w14:solidFill>
              <w14:schemeClr w14:val="tx1"/>
            </w14:solidFill>
          </w14:textFill>
        </w:rPr>
        <w:footnoteRef/>
      </w:r>
      <w:r>
        <w:rPr>
          <w:rFonts w:hint="eastAsia" w:ascii="仿宋" w:hAnsi="仿宋" w:eastAsia="仿宋"/>
          <w:color w:val="000000" w:themeColor="text1"/>
          <w14:textFill>
            <w14:solidFill>
              <w14:schemeClr w14:val="tx1"/>
            </w14:solidFill>
          </w14:textFill>
        </w:rPr>
        <w:t>《昭陵碑石》，第198页。</w:t>
      </w:r>
    </w:p>
  </w:footnote>
  <w:footnote w:id="5">
    <w:p>
      <w:pPr>
        <w:pStyle w:val="5"/>
        <w:spacing w:line="276" w:lineRule="auto"/>
        <w:ind w:left="420" w:leftChars="200"/>
        <w:rPr>
          <w:rFonts w:ascii="仿宋" w:hAnsi="仿宋" w:eastAsia="仿宋"/>
          <w:color w:val="000000" w:themeColor="text1"/>
          <w14:textFill>
            <w14:solidFill>
              <w14:schemeClr w14:val="tx1"/>
            </w14:solidFill>
          </w14:textFill>
        </w:rPr>
      </w:pPr>
      <w:r>
        <w:rPr>
          <w:rFonts w:ascii="仿宋" w:hAnsi="仿宋" w:eastAsia="仿宋"/>
          <w:color w:val="000000" w:themeColor="text1"/>
          <w14:textFill>
            <w14:solidFill>
              <w14:schemeClr w14:val="tx1"/>
            </w14:solidFill>
          </w14:textFill>
        </w:rPr>
        <w:footnoteRef/>
      </w:r>
      <w:r>
        <w:rPr>
          <w:rFonts w:hint="eastAsia" w:ascii="仿宋" w:hAnsi="仿宋" w:eastAsia="仿宋"/>
          <w:color w:val="000000" w:themeColor="text1"/>
          <w14:textFill>
            <w14:solidFill>
              <w14:schemeClr w14:val="tx1"/>
            </w14:solidFill>
          </w14:textFill>
        </w:rPr>
        <w:t xml:space="preserve"> 张云：《唐〈新城长公主墓志〉考》，《碑林集刊》第6辑，</w:t>
      </w:r>
      <w:r>
        <w:rPr>
          <w:rFonts w:ascii="仿宋" w:hAnsi="仿宋" w:eastAsia="仿宋"/>
          <w:color w:val="000000" w:themeColor="text1"/>
          <w14:textFill>
            <w14:solidFill>
              <w14:schemeClr w14:val="tx1"/>
            </w14:solidFill>
          </w14:textFill>
        </w:rPr>
        <w:t>陕西人民美术出版社2000年</w:t>
      </w:r>
      <w:r>
        <w:rPr>
          <w:rFonts w:hint="eastAsia" w:ascii="仿宋" w:hAnsi="仿宋" w:eastAsia="仿宋"/>
          <w:color w:val="000000" w:themeColor="text1"/>
          <w14:textFill>
            <w14:solidFill>
              <w14:schemeClr w14:val="tx1"/>
            </w14:solidFill>
          </w14:textFill>
        </w:rPr>
        <w:t>版，第3</w:t>
      </w:r>
      <w:r>
        <w:rPr>
          <w:rFonts w:ascii="仿宋" w:hAnsi="仿宋" w:eastAsia="仿宋"/>
          <w:color w:val="000000" w:themeColor="text1"/>
          <w14:textFill>
            <w14:solidFill>
              <w14:schemeClr w14:val="tx1"/>
            </w14:solidFill>
          </w14:textFill>
        </w:rPr>
        <w:t>3</w:t>
      </w:r>
      <w:r>
        <w:rPr>
          <w:rFonts w:hint="eastAsia" w:ascii="仿宋" w:hAnsi="仿宋" w:eastAsia="仿宋"/>
          <w:color w:val="000000" w:themeColor="text1"/>
          <w14:textFill>
            <w14:solidFill>
              <w14:schemeClr w14:val="tx1"/>
            </w14:solidFill>
          </w14:textFill>
        </w:rPr>
        <w:t>页。</w:t>
      </w:r>
    </w:p>
  </w:footnote>
  <w:footnote w:id="6">
    <w:p>
      <w:pPr>
        <w:pStyle w:val="5"/>
        <w:spacing w:line="276" w:lineRule="auto"/>
        <w:ind w:left="420" w:leftChars="200"/>
        <w:rPr>
          <w:rFonts w:ascii="仿宋" w:hAnsi="仿宋" w:eastAsia="仿宋"/>
          <w:color w:val="000000" w:themeColor="text1"/>
          <w14:textFill>
            <w14:solidFill>
              <w14:schemeClr w14:val="tx1"/>
            </w14:solidFill>
          </w14:textFill>
        </w:rPr>
      </w:pPr>
      <w:r>
        <w:rPr>
          <w:rFonts w:ascii="仿宋" w:hAnsi="仿宋" w:eastAsia="仿宋"/>
          <w:color w:val="000000" w:themeColor="text1"/>
          <w14:textFill>
            <w14:solidFill>
              <w14:schemeClr w14:val="tx1"/>
            </w14:solidFill>
          </w14:textFill>
        </w:rPr>
        <w:footnoteRef/>
      </w:r>
      <w:r>
        <w:rPr>
          <w:rFonts w:hint="eastAsia" w:ascii="仿宋" w:hAnsi="仿宋" w:eastAsia="仿宋"/>
          <w:color w:val="000000" w:themeColor="text1"/>
          <w14:textFill>
            <w14:solidFill>
              <w14:schemeClr w14:val="tx1"/>
            </w14:solidFill>
          </w14:textFill>
        </w:rPr>
        <w:t xml:space="preserve"> 陈尚君：《全唐文补编》卷一一，中华书局2</w:t>
      </w:r>
      <w:r>
        <w:rPr>
          <w:rFonts w:ascii="仿宋" w:hAnsi="仿宋" w:eastAsia="仿宋"/>
          <w:color w:val="000000" w:themeColor="text1"/>
          <w14:textFill>
            <w14:solidFill>
              <w14:schemeClr w14:val="tx1"/>
            </w14:solidFill>
          </w14:textFill>
        </w:rPr>
        <w:t>005年</w:t>
      </w:r>
      <w:r>
        <w:rPr>
          <w:rFonts w:hint="eastAsia" w:ascii="仿宋" w:hAnsi="仿宋" w:eastAsia="仿宋"/>
          <w:color w:val="000000" w:themeColor="text1"/>
          <w14:textFill>
            <w14:solidFill>
              <w14:schemeClr w14:val="tx1"/>
            </w14:solidFill>
          </w14:textFill>
        </w:rPr>
        <w:t>版，第</w:t>
      </w:r>
      <w:r>
        <w:rPr>
          <w:rFonts w:ascii="仿宋" w:hAnsi="仿宋" w:eastAsia="仿宋"/>
          <w:color w:val="000000" w:themeColor="text1"/>
          <w14:textFill>
            <w14:solidFill>
              <w14:schemeClr w14:val="tx1"/>
            </w14:solidFill>
          </w14:textFill>
        </w:rPr>
        <w:t>138</w:t>
      </w:r>
      <w:r>
        <w:rPr>
          <w:rFonts w:hint="eastAsia" w:ascii="仿宋" w:hAnsi="仿宋" w:eastAsia="仿宋"/>
          <w:color w:val="000000" w:themeColor="text1"/>
          <w14:textFill>
            <w14:solidFill>
              <w14:schemeClr w14:val="tx1"/>
            </w14:solidFill>
          </w14:textFill>
        </w:rPr>
        <w:t>页。</w:t>
      </w:r>
    </w:p>
  </w:footnote>
  <w:footnote w:id="7">
    <w:p>
      <w:pPr>
        <w:pStyle w:val="5"/>
        <w:spacing w:line="276" w:lineRule="auto"/>
        <w:ind w:left="420" w:leftChars="200"/>
        <w:rPr>
          <w:rFonts w:ascii="仿宋" w:hAnsi="仿宋" w:eastAsia="仿宋"/>
          <w:color w:val="000000" w:themeColor="text1"/>
          <w14:textFill>
            <w14:solidFill>
              <w14:schemeClr w14:val="tx1"/>
            </w14:solidFill>
          </w14:textFill>
        </w:rPr>
      </w:pPr>
      <w:r>
        <w:rPr>
          <w:rFonts w:ascii="仿宋" w:hAnsi="仿宋" w:eastAsia="仿宋"/>
          <w:color w:val="000000" w:themeColor="text1"/>
          <w14:textFill>
            <w14:solidFill>
              <w14:schemeClr w14:val="tx1"/>
            </w14:solidFill>
          </w14:textFill>
        </w:rPr>
        <w:footnoteRef/>
      </w:r>
      <w:r>
        <w:rPr>
          <w:rFonts w:hint="eastAsia" w:ascii="仿宋" w:hAnsi="仿宋" w:eastAsia="仿宋"/>
          <w:color w:val="000000" w:themeColor="text1"/>
          <w14:textFill>
            <w14:solidFill>
              <w14:schemeClr w14:val="tx1"/>
            </w14:solidFill>
          </w14:textFill>
        </w:rPr>
        <w:t xml:space="preserve"> 《全唐文补编》卷一三，第1</w:t>
      </w:r>
      <w:r>
        <w:rPr>
          <w:rFonts w:ascii="仿宋" w:hAnsi="仿宋" w:eastAsia="仿宋"/>
          <w:color w:val="000000" w:themeColor="text1"/>
          <w14:textFill>
            <w14:solidFill>
              <w14:schemeClr w14:val="tx1"/>
            </w14:solidFill>
          </w14:textFill>
        </w:rPr>
        <w:t>56</w:t>
      </w:r>
      <w:r>
        <w:rPr>
          <w:rFonts w:hint="eastAsia" w:ascii="仿宋" w:hAnsi="仿宋" w:eastAsia="仿宋"/>
          <w:color w:val="000000" w:themeColor="text1"/>
          <w14:textFill>
            <w14:solidFill>
              <w14:schemeClr w14:val="tx1"/>
            </w14:solidFill>
          </w14:textFill>
        </w:rPr>
        <w:t>页。</w:t>
      </w:r>
    </w:p>
  </w:footnote>
  <w:footnote w:id="8">
    <w:p>
      <w:pPr>
        <w:pStyle w:val="5"/>
        <w:spacing w:line="276" w:lineRule="auto"/>
        <w:ind w:left="420" w:leftChars="200"/>
        <w:rPr>
          <w:rFonts w:ascii="仿宋" w:hAnsi="仿宋" w:eastAsia="仿宋"/>
          <w:color w:val="000000" w:themeColor="text1"/>
          <w14:textFill>
            <w14:solidFill>
              <w14:schemeClr w14:val="tx1"/>
            </w14:solidFill>
          </w14:textFill>
        </w:rPr>
      </w:pPr>
      <w:r>
        <w:rPr>
          <w:rFonts w:ascii="仿宋" w:hAnsi="仿宋" w:eastAsia="仿宋"/>
          <w:color w:val="000000" w:themeColor="text1"/>
          <w14:textFill>
            <w14:solidFill>
              <w14:schemeClr w14:val="tx1"/>
            </w14:solidFill>
          </w14:textFill>
        </w:rPr>
        <w:footnoteRef/>
      </w:r>
      <w:r>
        <w:rPr>
          <w:rFonts w:hint="eastAsia" w:ascii="仿宋" w:hAnsi="仿宋" w:eastAsia="仿宋"/>
          <w:color w:val="000000" w:themeColor="text1"/>
          <w14:textFill>
            <w14:solidFill>
              <w14:schemeClr w14:val="tx1"/>
            </w14:solidFill>
          </w14:textFill>
        </w:rPr>
        <w:t xml:space="preserve"> 周绍良、赵超：《唐代墓志汇编》，</w:t>
      </w:r>
      <w:r>
        <w:rPr>
          <w:rFonts w:ascii="仿宋" w:hAnsi="仿宋" w:eastAsia="仿宋"/>
          <w:color w:val="000000" w:themeColor="text1"/>
          <w14:textFill>
            <w14:solidFill>
              <w14:schemeClr w14:val="tx1"/>
            </w14:solidFill>
          </w14:textFill>
        </w:rPr>
        <w:t>上海古籍出版社1992年</w:t>
      </w:r>
      <w:r>
        <w:rPr>
          <w:rFonts w:hint="eastAsia" w:ascii="仿宋" w:hAnsi="仿宋" w:eastAsia="仿宋"/>
          <w:color w:val="000000" w:themeColor="text1"/>
          <w14:textFill>
            <w14:solidFill>
              <w14:schemeClr w14:val="tx1"/>
            </w14:solidFill>
          </w14:textFill>
        </w:rPr>
        <w:t>版，第101页。</w:t>
      </w:r>
    </w:p>
  </w:footnote>
  <w:footnote w:id="9">
    <w:p>
      <w:pPr>
        <w:pStyle w:val="5"/>
        <w:spacing w:line="276" w:lineRule="auto"/>
        <w:ind w:left="420" w:leftChars="200"/>
        <w:rPr>
          <w:rFonts w:ascii="仿宋" w:hAnsi="仿宋" w:eastAsia="仿宋"/>
          <w:color w:val="000000" w:themeColor="text1"/>
          <w14:textFill>
            <w14:solidFill>
              <w14:schemeClr w14:val="tx1"/>
            </w14:solidFill>
          </w14:textFill>
        </w:rPr>
      </w:pPr>
      <w:r>
        <w:rPr>
          <w:rFonts w:ascii="仿宋" w:hAnsi="仿宋" w:eastAsia="仿宋"/>
          <w:color w:val="000000" w:themeColor="text1"/>
          <w14:textFill>
            <w14:solidFill>
              <w14:schemeClr w14:val="tx1"/>
            </w14:solidFill>
          </w14:textFill>
        </w:rPr>
        <w:footnoteRef/>
      </w:r>
      <w:r>
        <w:rPr>
          <w:rFonts w:hint="eastAsia" w:ascii="仿宋" w:hAnsi="仿宋" w:eastAsia="仿宋"/>
          <w:color w:val="000000" w:themeColor="text1"/>
          <w14:textFill>
            <w14:solidFill>
              <w14:schemeClr w14:val="tx1"/>
            </w14:solidFill>
          </w14:textFill>
        </w:rPr>
        <w:t xml:space="preserve"> 《昭陵碑石》，第168页。</w:t>
      </w:r>
    </w:p>
  </w:footnote>
  <w:footnote w:id="10">
    <w:p>
      <w:pPr>
        <w:pStyle w:val="5"/>
        <w:spacing w:line="276" w:lineRule="auto"/>
        <w:ind w:left="420" w:leftChars="200"/>
        <w:rPr>
          <w:rFonts w:ascii="仿宋" w:hAnsi="仿宋" w:eastAsia="仿宋"/>
          <w:color w:val="000000" w:themeColor="text1"/>
          <w14:textFill>
            <w14:solidFill>
              <w14:schemeClr w14:val="tx1"/>
            </w14:solidFill>
          </w14:textFill>
        </w:rPr>
      </w:pPr>
      <w:r>
        <w:rPr>
          <w:rFonts w:ascii="仿宋" w:hAnsi="仿宋" w:eastAsia="仿宋"/>
          <w:color w:val="000000" w:themeColor="text1"/>
          <w14:textFill>
            <w14:solidFill>
              <w14:schemeClr w14:val="tx1"/>
            </w14:solidFill>
          </w14:textFill>
        </w:rPr>
        <w:footnoteRef/>
      </w:r>
      <w:r>
        <w:rPr>
          <w:rFonts w:hint="eastAsia" w:ascii="仿宋" w:hAnsi="仿宋" w:eastAsia="仿宋"/>
          <w:color w:val="000000" w:themeColor="text1"/>
          <w14:textFill>
            <w14:solidFill>
              <w14:schemeClr w14:val="tx1"/>
            </w14:solidFill>
          </w14:textFill>
        </w:rPr>
        <w:t xml:space="preserve"> 《昭陵碑石》，第110页。</w:t>
      </w:r>
    </w:p>
  </w:footnote>
  <w:footnote w:id="11">
    <w:p>
      <w:pPr>
        <w:pStyle w:val="5"/>
        <w:spacing w:line="276" w:lineRule="auto"/>
        <w:ind w:left="420" w:leftChars="200"/>
        <w:rPr>
          <w:rFonts w:ascii="仿宋" w:hAnsi="仿宋" w:eastAsia="仿宋"/>
          <w:color w:val="000000" w:themeColor="text1"/>
          <w14:textFill>
            <w14:solidFill>
              <w14:schemeClr w14:val="tx1"/>
            </w14:solidFill>
          </w14:textFill>
        </w:rPr>
      </w:pPr>
      <w:r>
        <w:rPr>
          <w:rFonts w:ascii="仿宋" w:hAnsi="仿宋" w:eastAsia="仿宋"/>
          <w:color w:val="000000" w:themeColor="text1"/>
          <w14:textFill>
            <w14:solidFill>
              <w14:schemeClr w14:val="tx1"/>
            </w14:solidFill>
          </w14:textFill>
        </w:rPr>
        <w:footnoteRef/>
      </w:r>
      <w:r>
        <w:rPr>
          <w:rFonts w:hint="eastAsia" w:ascii="仿宋" w:hAnsi="仿宋" w:eastAsia="仿宋"/>
          <w:color w:val="000000" w:themeColor="text1"/>
          <w14:textFill>
            <w14:solidFill>
              <w14:schemeClr w14:val="tx1"/>
            </w14:solidFill>
          </w14:textFill>
        </w:rPr>
        <w:t xml:space="preserve"> 《唐〈新城长公主墓志〉考》，第33页。</w:t>
      </w:r>
    </w:p>
  </w:footnote>
  <w:footnote w:id="12">
    <w:p>
      <w:pPr>
        <w:pStyle w:val="5"/>
        <w:spacing w:line="276" w:lineRule="auto"/>
        <w:ind w:left="420" w:leftChars="200"/>
        <w:rPr>
          <w:rFonts w:ascii="仿宋" w:hAnsi="仿宋" w:eastAsia="仿宋"/>
          <w:color w:val="000000" w:themeColor="text1"/>
          <w14:textFill>
            <w14:solidFill>
              <w14:schemeClr w14:val="tx1"/>
            </w14:solidFill>
          </w14:textFill>
        </w:rPr>
      </w:pPr>
      <w:r>
        <w:rPr>
          <w:rFonts w:ascii="仿宋" w:hAnsi="仿宋" w:eastAsia="仿宋"/>
          <w:color w:val="000000" w:themeColor="text1"/>
          <w14:textFill>
            <w14:solidFill>
              <w14:schemeClr w14:val="tx1"/>
            </w14:solidFill>
          </w14:textFill>
        </w:rPr>
        <w:footnoteRef/>
      </w:r>
      <w:r>
        <w:rPr>
          <w:rFonts w:hint="eastAsia" w:ascii="仿宋" w:hAnsi="仿宋" w:eastAsia="仿宋"/>
          <w:color w:val="000000" w:themeColor="text1"/>
          <w14:textFill>
            <w14:solidFill>
              <w14:schemeClr w14:val="tx1"/>
            </w14:solidFill>
          </w14:textFill>
        </w:rPr>
        <w:t xml:space="preserve"> 《唐代墓志汇编》，第101页。</w:t>
      </w:r>
      <w:r>
        <w:rPr>
          <w:rFonts w:ascii="仿宋" w:hAnsi="仿宋" w:eastAsia="仿宋"/>
          <w:color w:val="000000" w:themeColor="text1"/>
          <w14:textFill>
            <w14:solidFill>
              <w14:schemeClr w14:val="tx1"/>
            </w14:solidFill>
          </w14:textFill>
        </w:rPr>
        <w:t xml:space="preserve"> </w:t>
      </w:r>
    </w:p>
  </w:footnote>
  <w:footnote w:id="13">
    <w:p>
      <w:pPr>
        <w:pStyle w:val="5"/>
        <w:spacing w:line="276" w:lineRule="auto"/>
        <w:ind w:left="420" w:leftChars="200"/>
        <w:rPr>
          <w:rFonts w:ascii="仿宋" w:hAnsi="仿宋" w:eastAsia="仿宋"/>
          <w:color w:val="000000" w:themeColor="text1"/>
          <w14:textFill>
            <w14:solidFill>
              <w14:schemeClr w14:val="tx1"/>
            </w14:solidFill>
          </w14:textFill>
        </w:rPr>
      </w:pPr>
      <w:r>
        <w:rPr>
          <w:rFonts w:ascii="仿宋" w:hAnsi="仿宋" w:eastAsia="仿宋"/>
          <w:color w:val="000000" w:themeColor="text1"/>
          <w14:textFill>
            <w14:solidFill>
              <w14:schemeClr w14:val="tx1"/>
            </w14:solidFill>
          </w14:textFill>
        </w:rPr>
        <w:footnoteRef/>
      </w:r>
      <w:r>
        <w:rPr>
          <w:rFonts w:hint="eastAsia" w:ascii="仿宋" w:hAnsi="仿宋" w:eastAsia="仿宋"/>
          <w:color w:val="000000" w:themeColor="text1"/>
          <w14:textFill>
            <w14:solidFill>
              <w14:schemeClr w14:val="tx1"/>
            </w14:solidFill>
          </w14:textFill>
        </w:rPr>
        <w:t xml:space="preserve"> 《昭陵碑石》，第197页。</w:t>
      </w:r>
    </w:p>
  </w:footnote>
  <w:footnote w:id="14">
    <w:p>
      <w:pPr>
        <w:pStyle w:val="5"/>
        <w:spacing w:line="276" w:lineRule="auto"/>
        <w:ind w:left="420" w:leftChars="200"/>
        <w:rPr>
          <w:rFonts w:ascii="宋体" w:hAnsi="宋体" w:eastAsia="宋体"/>
          <w:color w:val="000000" w:themeColor="text1"/>
          <w14:textFill>
            <w14:solidFill>
              <w14:schemeClr w14:val="tx1"/>
            </w14:solidFill>
          </w14:textFill>
        </w:rPr>
      </w:pPr>
      <w:r>
        <w:rPr>
          <w:rFonts w:ascii="仿宋" w:hAnsi="仿宋" w:eastAsia="仿宋"/>
          <w:color w:val="000000" w:themeColor="text1"/>
          <w14:textFill>
            <w14:solidFill>
              <w14:schemeClr w14:val="tx1"/>
            </w14:solidFill>
          </w14:textFill>
        </w:rPr>
        <w:footnoteRef/>
      </w:r>
      <w:r>
        <w:rPr>
          <w:rFonts w:hint="eastAsia" w:ascii="仿宋" w:hAnsi="仿宋" w:eastAsia="仿宋"/>
          <w:color w:val="000000" w:themeColor="text1"/>
          <w14:textFill>
            <w14:solidFill>
              <w14:schemeClr w14:val="tx1"/>
            </w14:solidFill>
          </w14:textFill>
        </w:rPr>
        <w:t xml:space="preserve"> 《昭陵碑石》，第209页。</w:t>
      </w:r>
    </w:p>
  </w:footnote>
  <w:footnote w:id="15">
    <w:p>
      <w:pPr>
        <w:pStyle w:val="5"/>
        <w:spacing w:line="276" w:lineRule="auto"/>
        <w:ind w:left="420" w:leftChars="200"/>
        <w:rPr>
          <w:rFonts w:ascii="仿宋" w:hAnsi="仿宋" w:eastAsia="仿宋"/>
          <w:color w:val="000000" w:themeColor="text1"/>
          <w14:textFill>
            <w14:solidFill>
              <w14:schemeClr w14:val="tx1"/>
            </w14:solidFill>
          </w14:textFill>
        </w:rPr>
      </w:pPr>
      <w:r>
        <w:rPr>
          <w:rFonts w:ascii="仿宋" w:hAnsi="仿宋" w:eastAsia="仿宋"/>
          <w:color w:val="000000" w:themeColor="text1"/>
          <w14:textFill>
            <w14:solidFill>
              <w14:schemeClr w14:val="tx1"/>
            </w14:solidFill>
          </w14:textFill>
        </w:rPr>
        <w:footnoteRef/>
      </w:r>
      <w:r>
        <w:rPr>
          <w:rFonts w:hint="eastAsia" w:ascii="仿宋" w:hAnsi="仿宋" w:eastAsia="仿宋"/>
          <w:color w:val="000000" w:themeColor="text1"/>
          <w14:textFill>
            <w14:solidFill>
              <w14:schemeClr w14:val="tx1"/>
            </w14:solidFill>
          </w14:textFill>
        </w:rPr>
        <w:t xml:space="preserve"> 《昭陵碑石》，第121页。</w:t>
      </w:r>
    </w:p>
  </w:footnote>
  <w:footnote w:id="16">
    <w:p>
      <w:pPr>
        <w:pStyle w:val="5"/>
        <w:spacing w:line="276" w:lineRule="auto"/>
        <w:ind w:left="420" w:leftChars="200"/>
        <w:rPr>
          <w:rFonts w:ascii="仿宋" w:hAnsi="仿宋" w:eastAsia="仿宋"/>
          <w:color w:val="000000" w:themeColor="text1"/>
          <w14:textFill>
            <w14:solidFill>
              <w14:schemeClr w14:val="tx1"/>
            </w14:solidFill>
          </w14:textFill>
        </w:rPr>
      </w:pPr>
      <w:r>
        <w:rPr>
          <w:rFonts w:ascii="仿宋" w:hAnsi="仿宋" w:eastAsia="仿宋"/>
          <w:color w:val="000000" w:themeColor="text1"/>
          <w14:textFill>
            <w14:solidFill>
              <w14:schemeClr w14:val="tx1"/>
            </w14:solidFill>
          </w14:textFill>
        </w:rPr>
        <w:footnoteRef/>
      </w:r>
      <w:r>
        <w:rPr>
          <w:rFonts w:ascii="仿宋" w:hAnsi="仿宋" w:eastAsia="仿宋"/>
          <w:color w:val="000000" w:themeColor="text1"/>
          <w14:textFill>
            <w14:solidFill>
              <w14:schemeClr w14:val="tx1"/>
            </w14:solidFill>
          </w14:textFill>
        </w:rPr>
        <w:t xml:space="preserve"> </w:t>
      </w:r>
      <w:r>
        <w:rPr>
          <w:rFonts w:hint="eastAsia" w:ascii="仿宋" w:hAnsi="仿宋" w:eastAsia="仿宋"/>
          <w:color w:val="000000" w:themeColor="text1"/>
          <w14:textFill>
            <w14:solidFill>
              <w14:schemeClr w14:val="tx1"/>
            </w14:solidFill>
          </w14:textFill>
        </w:rPr>
        <w:t>〔清〕彭定求：《全唐诗》卷五，</w:t>
      </w:r>
      <w:r>
        <w:rPr>
          <w:rFonts w:ascii="仿宋" w:hAnsi="仿宋" w:eastAsia="仿宋"/>
          <w:color w:val="000000" w:themeColor="text1"/>
          <w14:textFill>
            <w14:solidFill>
              <w14:schemeClr w14:val="tx1"/>
            </w14:solidFill>
          </w14:textFill>
        </w:rPr>
        <w:t>中华书局1980年</w:t>
      </w:r>
      <w:r>
        <w:rPr>
          <w:rFonts w:hint="eastAsia" w:ascii="仿宋" w:hAnsi="仿宋" w:eastAsia="仿宋"/>
          <w:color w:val="000000" w:themeColor="text1"/>
          <w14:textFill>
            <w14:solidFill>
              <w14:schemeClr w14:val="tx1"/>
            </w14:solidFill>
          </w14:textFill>
        </w:rPr>
        <w:t>版，第51页。</w:t>
      </w:r>
      <w:r>
        <w:rPr>
          <w:rFonts w:ascii="仿宋" w:hAnsi="仿宋" w:eastAsia="仿宋"/>
          <w:color w:val="000000" w:themeColor="text1"/>
          <w14:textFill>
            <w14:solidFill>
              <w14:schemeClr w14:val="tx1"/>
            </w14:solidFill>
          </w14:textFill>
        </w:rPr>
        <w:t xml:space="preserve"> </w:t>
      </w:r>
    </w:p>
  </w:footnote>
  <w:footnote w:id="17">
    <w:p>
      <w:pPr>
        <w:pStyle w:val="5"/>
        <w:spacing w:line="276" w:lineRule="auto"/>
        <w:ind w:left="420" w:leftChars="200"/>
        <w:rPr>
          <w:rFonts w:ascii="仿宋" w:hAnsi="仿宋" w:eastAsia="仿宋"/>
          <w:color w:val="000000" w:themeColor="text1"/>
          <w14:textFill>
            <w14:solidFill>
              <w14:schemeClr w14:val="tx1"/>
            </w14:solidFill>
          </w14:textFill>
        </w:rPr>
      </w:pPr>
      <w:r>
        <w:rPr>
          <w:rFonts w:ascii="仿宋" w:hAnsi="仿宋" w:eastAsia="仿宋"/>
          <w:color w:val="000000" w:themeColor="text1"/>
          <w14:textFill>
            <w14:solidFill>
              <w14:schemeClr w14:val="tx1"/>
            </w14:solidFill>
          </w14:textFill>
        </w:rPr>
        <w:footnoteRef/>
      </w:r>
      <w:r>
        <w:rPr>
          <w:rFonts w:ascii="仿宋" w:hAnsi="仿宋" w:eastAsia="仿宋"/>
          <w:color w:val="000000" w:themeColor="text1"/>
          <w14:textFill>
            <w14:solidFill>
              <w14:schemeClr w14:val="tx1"/>
            </w14:solidFill>
          </w14:textFill>
        </w:rPr>
        <w:t xml:space="preserve"> 〔</w:t>
      </w:r>
      <w:r>
        <w:rPr>
          <w:rFonts w:hint="eastAsia" w:ascii="仿宋" w:hAnsi="仿宋" w:eastAsia="仿宋"/>
          <w:color w:val="000000" w:themeColor="text1"/>
          <w14:textFill>
            <w14:solidFill>
              <w14:schemeClr w14:val="tx1"/>
            </w14:solidFill>
          </w14:textFill>
        </w:rPr>
        <w:t>明</w:t>
      </w:r>
      <w:r>
        <w:rPr>
          <w:rFonts w:ascii="仿宋" w:hAnsi="仿宋" w:eastAsia="仿宋"/>
          <w:color w:val="000000" w:themeColor="text1"/>
          <w14:textFill>
            <w14:solidFill>
              <w14:schemeClr w14:val="tx1"/>
            </w14:solidFill>
          </w14:textFill>
        </w:rPr>
        <w:t>〕钟惺</w:t>
      </w:r>
      <w:r>
        <w:rPr>
          <w:rFonts w:hint="eastAsia" w:ascii="仿宋" w:hAnsi="仿宋" w:eastAsia="仿宋"/>
          <w:color w:val="000000" w:themeColor="text1"/>
          <w14:textFill>
            <w14:solidFill>
              <w14:schemeClr w14:val="tx1"/>
            </w14:solidFill>
          </w14:textFill>
        </w:rPr>
        <w:t>、〔明</w:t>
      </w:r>
      <w:r>
        <w:rPr>
          <w:rFonts w:ascii="仿宋" w:hAnsi="仿宋" w:eastAsia="仿宋"/>
          <w:color w:val="000000" w:themeColor="text1"/>
          <w14:textFill>
            <w14:solidFill>
              <w14:schemeClr w14:val="tx1"/>
            </w14:solidFill>
          </w14:textFill>
        </w:rPr>
        <w:t>〕谭元春</w:t>
      </w:r>
      <w:r>
        <w:rPr>
          <w:rFonts w:hint="eastAsia" w:ascii="仿宋" w:hAnsi="仿宋" w:eastAsia="仿宋"/>
          <w:color w:val="000000" w:themeColor="text1"/>
          <w14:textFill>
            <w14:solidFill>
              <w14:schemeClr w14:val="tx1"/>
            </w14:solidFill>
          </w14:textFill>
        </w:rPr>
        <w:t>选评，张国光点校：《诗归》，湖北人民出版社1</w:t>
      </w:r>
      <w:r>
        <w:rPr>
          <w:rFonts w:ascii="仿宋" w:hAnsi="仿宋" w:eastAsia="仿宋"/>
          <w:color w:val="000000" w:themeColor="text1"/>
          <w14:textFill>
            <w14:solidFill>
              <w14:schemeClr w14:val="tx1"/>
            </w14:solidFill>
          </w14:textFill>
        </w:rPr>
        <w:t>985</w:t>
      </w:r>
      <w:r>
        <w:rPr>
          <w:rFonts w:hint="eastAsia" w:ascii="仿宋" w:hAnsi="仿宋" w:eastAsia="仿宋"/>
          <w:color w:val="000000" w:themeColor="text1"/>
          <w14:textFill>
            <w14:solidFill>
              <w14:schemeClr w14:val="tx1"/>
            </w14:solidFill>
          </w14:textFill>
        </w:rPr>
        <w:t>年版，第1</w:t>
      </w:r>
      <w:r>
        <w:rPr>
          <w:rFonts w:ascii="仿宋" w:hAnsi="仿宋" w:eastAsia="仿宋"/>
          <w:color w:val="000000" w:themeColor="text1"/>
          <w14:textFill>
            <w14:solidFill>
              <w14:schemeClr w14:val="tx1"/>
            </w14:solidFill>
          </w14:textFill>
        </w:rPr>
        <w:t>12</w:t>
      </w:r>
      <w:r>
        <w:rPr>
          <w:rFonts w:hint="eastAsia" w:ascii="仿宋" w:hAnsi="仿宋" w:eastAsia="仿宋"/>
          <w:color w:val="000000" w:themeColor="text1"/>
          <w14:textFill>
            <w14:solidFill>
              <w14:schemeClr w14:val="tx1"/>
            </w14:solidFill>
          </w14:textFill>
        </w:rPr>
        <w:t>页。</w:t>
      </w:r>
    </w:p>
  </w:footnote>
  <w:footnote w:id="18">
    <w:p>
      <w:pPr>
        <w:pStyle w:val="5"/>
        <w:spacing w:line="276" w:lineRule="auto"/>
        <w:ind w:left="420" w:leftChars="200"/>
        <w:jc w:val="both"/>
      </w:pPr>
      <w:r>
        <w:rPr>
          <w:rFonts w:ascii="仿宋" w:hAnsi="仿宋" w:eastAsia="仿宋"/>
          <w:color w:val="000000" w:themeColor="text1"/>
          <w14:textFill>
            <w14:solidFill>
              <w14:schemeClr w14:val="tx1"/>
            </w14:solidFill>
          </w14:textFill>
        </w:rPr>
        <w:footnoteRef/>
      </w:r>
      <w:r>
        <w:rPr>
          <w:rFonts w:ascii="仿宋" w:hAnsi="仿宋" w:eastAsia="仿宋"/>
          <w:color w:val="000000" w:themeColor="text1"/>
          <w14:textFill>
            <w14:solidFill>
              <w14:schemeClr w14:val="tx1"/>
            </w14:solidFill>
          </w14:textFill>
        </w:rPr>
        <w:t xml:space="preserve"> </w:t>
      </w:r>
      <w:r>
        <w:rPr>
          <w:rFonts w:hint="eastAsia" w:ascii="仿宋" w:hAnsi="仿宋" w:eastAsia="仿宋"/>
          <w:color w:val="000000" w:themeColor="text1"/>
          <w14:textFill>
            <w14:solidFill>
              <w14:schemeClr w14:val="tx1"/>
            </w14:solidFill>
          </w14:textFill>
        </w:rPr>
        <w:t>〔五代</w:t>
      </w:r>
      <w:r>
        <w:rPr>
          <w:rFonts w:ascii="仿宋" w:hAnsi="仿宋" w:eastAsia="仿宋"/>
          <w:color w:val="000000" w:themeColor="text1"/>
          <w14:textFill>
            <w14:solidFill>
              <w14:schemeClr w14:val="tx1"/>
            </w14:solidFill>
          </w14:textFill>
        </w:rPr>
        <w:t>〕</w:t>
      </w:r>
      <w:r>
        <w:rPr>
          <w:rFonts w:hint="eastAsia" w:ascii="仿宋" w:hAnsi="仿宋" w:eastAsia="仿宋"/>
          <w:color w:val="000000" w:themeColor="text1"/>
          <w14:textFill>
            <w14:solidFill>
              <w14:schemeClr w14:val="tx1"/>
            </w14:solidFill>
          </w14:textFill>
        </w:rPr>
        <w:t>刘昫：《旧唐书》卷四三，</w:t>
      </w:r>
      <w:r>
        <w:rPr>
          <w:rFonts w:ascii="仿宋" w:hAnsi="仿宋" w:eastAsia="仿宋"/>
          <w:color w:val="000000" w:themeColor="text1"/>
          <w14:textFill>
            <w14:solidFill>
              <w14:schemeClr w14:val="tx1"/>
            </w14:solidFill>
          </w14:textFill>
        </w:rPr>
        <w:t>中华书局1975年</w:t>
      </w:r>
      <w:r>
        <w:rPr>
          <w:rFonts w:hint="eastAsia" w:ascii="仿宋" w:hAnsi="仿宋" w:eastAsia="仿宋"/>
          <w:color w:val="000000" w:themeColor="text1"/>
          <w14:textFill>
            <w14:solidFill>
              <w14:schemeClr w14:val="tx1"/>
            </w14:solidFill>
          </w14:textFill>
        </w:rPr>
        <w:t>版，第1</w:t>
      </w:r>
      <w:r>
        <w:rPr>
          <w:rFonts w:ascii="仿宋" w:hAnsi="仿宋" w:eastAsia="仿宋"/>
          <w:color w:val="000000" w:themeColor="text1"/>
          <w14:textFill>
            <w14:solidFill>
              <w14:schemeClr w14:val="tx1"/>
            </w14:solidFill>
          </w14:textFill>
        </w:rPr>
        <w:t>854</w:t>
      </w:r>
      <w:r>
        <w:rPr>
          <w:rFonts w:hint="eastAsia" w:ascii="仿宋" w:hAnsi="仿宋" w:eastAsia="仿宋"/>
          <w:color w:val="000000" w:themeColor="text1"/>
          <w14:textFill>
            <w14:solidFill>
              <w14:schemeClr w14:val="tx1"/>
            </w14:solidFill>
          </w14:textFill>
        </w:rPr>
        <w:t>页。</w:t>
      </w:r>
    </w:p>
  </w:footnote>
  <w:footnote w:id="19">
    <w:p>
      <w:pPr>
        <w:pStyle w:val="5"/>
        <w:spacing w:line="276" w:lineRule="auto"/>
        <w:ind w:left="420" w:leftChars="200"/>
        <w:jc w:val="both"/>
        <w:rPr>
          <w:rFonts w:ascii="仿宋" w:hAnsi="仿宋" w:eastAsia="仿宋"/>
          <w:color w:val="000000" w:themeColor="text1"/>
          <w14:textFill>
            <w14:solidFill>
              <w14:schemeClr w14:val="tx1"/>
            </w14:solidFill>
          </w14:textFill>
        </w:rPr>
      </w:pPr>
      <w:r>
        <w:rPr>
          <w:rFonts w:ascii="仿宋" w:hAnsi="仿宋" w:eastAsia="仿宋"/>
          <w:color w:val="000000" w:themeColor="text1"/>
          <w14:textFill>
            <w14:solidFill>
              <w14:schemeClr w14:val="tx1"/>
            </w14:solidFill>
          </w14:textFill>
        </w:rPr>
        <w:footnoteRef/>
      </w:r>
      <w:r>
        <w:rPr>
          <w:rFonts w:hint="eastAsia" w:ascii="仿宋" w:hAnsi="仿宋" w:eastAsia="仿宋"/>
          <w:color w:val="000000" w:themeColor="text1"/>
          <w14:textFill>
            <w14:solidFill>
              <w14:schemeClr w14:val="tx1"/>
            </w14:solidFill>
          </w14:textFill>
        </w:rPr>
        <w:t xml:space="preserve"> 《昭陵碑石》，第197页。</w:t>
      </w:r>
      <w:r>
        <w:rPr>
          <w:rFonts w:ascii="仿宋" w:hAnsi="仿宋" w:eastAsia="仿宋"/>
          <w:color w:val="000000" w:themeColor="text1"/>
          <w14:textFill>
            <w14:solidFill>
              <w14:schemeClr w14:val="tx1"/>
            </w14:solidFill>
          </w14:textFill>
        </w:rPr>
        <w:t xml:space="preserve"> </w:t>
      </w:r>
    </w:p>
  </w:footnote>
  <w:footnote w:id="20">
    <w:p>
      <w:pPr>
        <w:pStyle w:val="5"/>
        <w:spacing w:line="276" w:lineRule="auto"/>
        <w:ind w:left="420" w:leftChars="200"/>
        <w:jc w:val="both"/>
      </w:pPr>
      <w:r>
        <w:rPr>
          <w:rFonts w:ascii="仿宋" w:hAnsi="仿宋" w:eastAsia="仿宋"/>
          <w:color w:val="000000" w:themeColor="text1"/>
          <w14:textFill>
            <w14:solidFill>
              <w14:schemeClr w14:val="tx1"/>
            </w14:solidFill>
          </w14:textFill>
        </w:rPr>
        <w:footnoteRef/>
      </w:r>
      <w:r>
        <w:rPr>
          <w:rFonts w:ascii="仿宋" w:hAnsi="仿宋" w:eastAsia="仿宋"/>
          <w:color w:val="000000" w:themeColor="text1"/>
          <w14:textFill>
            <w14:solidFill>
              <w14:schemeClr w14:val="tx1"/>
            </w14:solidFill>
          </w14:textFill>
        </w:rPr>
        <w:t xml:space="preserve"> </w:t>
      </w:r>
      <w:r>
        <w:rPr>
          <w:rFonts w:hint="eastAsia" w:ascii="仿宋" w:hAnsi="仿宋" w:eastAsia="仿宋"/>
          <w:color w:val="000000" w:themeColor="text1"/>
          <w14:textFill>
            <w14:solidFill>
              <w14:schemeClr w14:val="tx1"/>
            </w14:solidFill>
          </w14:textFill>
        </w:rPr>
        <w:t>〔宋</w:t>
      </w:r>
      <w:r>
        <w:rPr>
          <w:rFonts w:ascii="仿宋" w:hAnsi="仿宋" w:eastAsia="仿宋"/>
          <w:color w:val="000000" w:themeColor="text1"/>
          <w14:textFill>
            <w14:solidFill>
              <w14:schemeClr w14:val="tx1"/>
            </w14:solidFill>
          </w14:textFill>
        </w:rPr>
        <w:t>〕</w:t>
      </w:r>
      <w:r>
        <w:rPr>
          <w:rFonts w:hint="eastAsia" w:ascii="仿宋" w:hAnsi="仿宋" w:eastAsia="仿宋"/>
          <w:color w:val="000000" w:themeColor="text1"/>
          <w14:textFill>
            <w14:solidFill>
              <w14:schemeClr w14:val="tx1"/>
            </w14:solidFill>
          </w14:textFill>
        </w:rPr>
        <w:t>欧阳修、〔宋</w:t>
      </w:r>
      <w:r>
        <w:rPr>
          <w:rFonts w:ascii="仿宋" w:hAnsi="仿宋" w:eastAsia="仿宋"/>
          <w:color w:val="000000" w:themeColor="text1"/>
          <w14:textFill>
            <w14:solidFill>
              <w14:schemeClr w14:val="tx1"/>
            </w14:solidFill>
          </w14:textFill>
        </w:rPr>
        <w:t>〕</w:t>
      </w:r>
      <w:r>
        <w:rPr>
          <w:rFonts w:hint="eastAsia" w:ascii="仿宋" w:hAnsi="仿宋" w:eastAsia="仿宋"/>
          <w:color w:val="000000" w:themeColor="text1"/>
          <w14:textFill>
            <w14:solidFill>
              <w14:schemeClr w14:val="tx1"/>
            </w14:solidFill>
          </w14:textFill>
        </w:rPr>
        <w:t>宋祁：《新唐书》卷七六，中华书局1</w:t>
      </w:r>
      <w:r>
        <w:rPr>
          <w:rFonts w:ascii="仿宋" w:hAnsi="仿宋" w:eastAsia="仿宋"/>
          <w:color w:val="000000" w:themeColor="text1"/>
          <w14:textFill>
            <w14:solidFill>
              <w14:schemeClr w14:val="tx1"/>
            </w14:solidFill>
          </w14:textFill>
        </w:rPr>
        <w:t>975</w:t>
      </w:r>
      <w:r>
        <w:rPr>
          <w:rFonts w:hint="eastAsia" w:ascii="仿宋" w:hAnsi="仿宋" w:eastAsia="仿宋"/>
          <w:color w:val="000000" w:themeColor="text1"/>
          <w14:textFill>
            <w14:solidFill>
              <w14:schemeClr w14:val="tx1"/>
            </w14:solidFill>
          </w14:textFill>
        </w:rPr>
        <w:t>年版，第</w:t>
      </w:r>
      <w:r>
        <w:rPr>
          <w:rFonts w:ascii="仿宋" w:hAnsi="仿宋" w:eastAsia="仿宋"/>
          <w:color w:val="000000" w:themeColor="text1"/>
          <w14:textFill>
            <w14:solidFill>
              <w14:schemeClr w14:val="tx1"/>
            </w14:solidFill>
          </w14:textFill>
        </w:rPr>
        <w:t>3469</w:t>
      </w:r>
      <w:r>
        <w:rPr>
          <w:rFonts w:hint="eastAsia" w:ascii="仿宋" w:hAnsi="仿宋" w:eastAsia="仿宋"/>
          <w:color w:val="000000" w:themeColor="text1"/>
          <w14:textFill>
            <w14:solidFill>
              <w14:schemeClr w14:val="tx1"/>
            </w14:solidFill>
          </w14:textFill>
        </w:rPr>
        <w:t>页。</w:t>
      </w:r>
    </w:p>
  </w:footnote>
  <w:footnote w:id="21">
    <w:p>
      <w:pPr>
        <w:pStyle w:val="5"/>
        <w:spacing w:line="276" w:lineRule="auto"/>
        <w:ind w:left="420" w:leftChars="200"/>
        <w:jc w:val="both"/>
        <w:rPr>
          <w:rFonts w:ascii="仿宋" w:hAnsi="仿宋" w:eastAsia="仿宋"/>
          <w:color w:val="000000" w:themeColor="text1"/>
          <w14:textFill>
            <w14:solidFill>
              <w14:schemeClr w14:val="tx1"/>
            </w14:solidFill>
          </w14:textFill>
        </w:rPr>
      </w:pPr>
      <w:r>
        <w:rPr>
          <w:rFonts w:ascii="仿宋" w:hAnsi="仿宋" w:eastAsia="仿宋"/>
          <w:color w:val="000000" w:themeColor="text1"/>
          <w14:textFill>
            <w14:solidFill>
              <w14:schemeClr w14:val="tx1"/>
            </w14:solidFill>
          </w14:textFill>
        </w:rPr>
        <w:footnoteRef/>
      </w:r>
      <w:r>
        <w:rPr>
          <w:rFonts w:hint="eastAsia" w:ascii="仿宋" w:hAnsi="仿宋" w:eastAsia="仿宋"/>
          <w:color w:val="000000" w:themeColor="text1"/>
          <w14:textFill>
            <w14:solidFill>
              <w14:schemeClr w14:val="tx1"/>
            </w14:solidFill>
          </w14:textFill>
        </w:rPr>
        <w:t xml:space="preserve"> 《昭陵碑石》，第181页。</w:t>
      </w:r>
      <w:r>
        <w:rPr>
          <w:rFonts w:ascii="仿宋" w:hAnsi="仿宋" w:eastAsia="仿宋"/>
          <w:color w:val="000000" w:themeColor="text1"/>
          <w14:textFill>
            <w14:solidFill>
              <w14:schemeClr w14:val="tx1"/>
            </w14:solidFill>
          </w14:textFill>
        </w:rPr>
        <w:t xml:space="preserve">  </w:t>
      </w:r>
    </w:p>
  </w:footnote>
  <w:footnote w:id="22">
    <w:p>
      <w:pPr>
        <w:pStyle w:val="5"/>
        <w:spacing w:line="276" w:lineRule="auto"/>
        <w:ind w:left="420" w:leftChars="200"/>
        <w:rPr>
          <w:rFonts w:ascii="仿宋" w:hAnsi="仿宋" w:eastAsia="仿宋"/>
          <w:color w:val="000000" w:themeColor="text1"/>
          <w14:textFill>
            <w14:solidFill>
              <w14:schemeClr w14:val="tx1"/>
            </w14:solidFill>
          </w14:textFill>
        </w:rPr>
      </w:pPr>
      <w:r>
        <w:rPr>
          <w:rFonts w:ascii="仿宋" w:hAnsi="仿宋" w:eastAsia="仿宋"/>
          <w:color w:val="000000" w:themeColor="text1"/>
          <w14:textFill>
            <w14:solidFill>
              <w14:schemeClr w14:val="tx1"/>
            </w14:solidFill>
          </w14:textFill>
        </w:rPr>
        <w:footnoteRef/>
      </w:r>
      <w:r>
        <w:rPr>
          <w:rFonts w:hint="eastAsia" w:ascii="仿宋" w:hAnsi="仿宋" w:eastAsia="仿宋"/>
          <w:color w:val="000000" w:themeColor="text1"/>
          <w14:textFill>
            <w14:solidFill>
              <w14:schemeClr w14:val="tx1"/>
            </w14:solidFill>
          </w14:textFill>
        </w:rPr>
        <w:t xml:space="preserve"> 《全唐文补编》卷一三，第1</w:t>
      </w:r>
      <w:r>
        <w:rPr>
          <w:rFonts w:ascii="仿宋" w:hAnsi="仿宋" w:eastAsia="仿宋"/>
          <w:color w:val="000000" w:themeColor="text1"/>
          <w14:textFill>
            <w14:solidFill>
              <w14:schemeClr w14:val="tx1"/>
            </w14:solidFill>
          </w14:textFill>
        </w:rPr>
        <w:t>58</w:t>
      </w:r>
      <w:r>
        <w:rPr>
          <w:rFonts w:hint="eastAsia" w:ascii="仿宋" w:hAnsi="仿宋" w:eastAsia="仿宋"/>
          <w:color w:val="000000" w:themeColor="text1"/>
          <w14:textFill>
            <w14:solidFill>
              <w14:schemeClr w14:val="tx1"/>
            </w14:solidFill>
          </w14:textFill>
        </w:rPr>
        <w:t>页。</w:t>
      </w:r>
    </w:p>
  </w:footnote>
  <w:footnote w:id="23">
    <w:p>
      <w:pPr>
        <w:pStyle w:val="5"/>
        <w:spacing w:line="276" w:lineRule="auto"/>
        <w:ind w:left="420" w:leftChars="200"/>
        <w:rPr>
          <w:rFonts w:ascii="仿宋" w:hAnsi="仿宋" w:eastAsia="仿宋"/>
          <w:color w:val="000000" w:themeColor="text1"/>
          <w14:textFill>
            <w14:solidFill>
              <w14:schemeClr w14:val="tx1"/>
            </w14:solidFill>
          </w14:textFill>
        </w:rPr>
      </w:pPr>
      <w:r>
        <w:rPr>
          <w:rFonts w:ascii="仿宋" w:hAnsi="仿宋" w:eastAsia="仿宋"/>
          <w:color w:val="000000" w:themeColor="text1"/>
          <w14:textFill>
            <w14:solidFill>
              <w14:schemeClr w14:val="tx1"/>
            </w14:solidFill>
          </w14:textFill>
        </w:rPr>
        <w:footnoteRef/>
      </w:r>
      <w:r>
        <w:rPr>
          <w:rFonts w:ascii="仿宋" w:hAnsi="仿宋" w:eastAsia="仿宋"/>
          <w:color w:val="000000" w:themeColor="text1"/>
          <w14:textFill>
            <w14:solidFill>
              <w14:schemeClr w14:val="tx1"/>
            </w14:solidFill>
          </w14:textFill>
        </w:rPr>
        <w:t xml:space="preserve"> </w:t>
      </w:r>
      <w:r>
        <w:rPr>
          <w:rFonts w:hint="eastAsia" w:ascii="仿宋" w:hAnsi="仿宋" w:eastAsia="仿宋"/>
          <w:color w:val="000000" w:themeColor="text1"/>
          <w14:textFill>
            <w14:solidFill>
              <w14:schemeClr w14:val="tx1"/>
            </w14:solidFill>
          </w14:textFill>
        </w:rPr>
        <w:t>《全唐文补编》卷一三，第1</w:t>
      </w:r>
      <w:r>
        <w:rPr>
          <w:rFonts w:ascii="仿宋" w:hAnsi="仿宋" w:eastAsia="仿宋"/>
          <w:color w:val="000000" w:themeColor="text1"/>
          <w14:textFill>
            <w14:solidFill>
              <w14:schemeClr w14:val="tx1"/>
            </w14:solidFill>
          </w14:textFill>
        </w:rPr>
        <w:t>56</w:t>
      </w:r>
      <w:r>
        <w:rPr>
          <w:rFonts w:hint="eastAsia" w:ascii="仿宋" w:hAnsi="仿宋" w:eastAsia="仿宋"/>
          <w:color w:val="000000" w:themeColor="text1"/>
          <w14:textFill>
            <w14:solidFill>
              <w14:schemeClr w14:val="tx1"/>
            </w14:solidFill>
          </w14:textFill>
        </w:rPr>
        <w:t>页。</w:t>
      </w:r>
    </w:p>
  </w:footnote>
  <w:footnote w:id="24">
    <w:p>
      <w:pPr>
        <w:pStyle w:val="5"/>
        <w:spacing w:line="276" w:lineRule="auto"/>
        <w:ind w:left="420" w:leftChars="200"/>
        <w:rPr>
          <w:rFonts w:ascii="仿宋" w:hAnsi="仿宋" w:eastAsia="仿宋"/>
          <w:color w:val="000000" w:themeColor="text1"/>
          <w14:textFill>
            <w14:solidFill>
              <w14:schemeClr w14:val="tx1"/>
            </w14:solidFill>
          </w14:textFill>
        </w:rPr>
      </w:pPr>
      <w:r>
        <w:rPr>
          <w:rFonts w:ascii="仿宋" w:hAnsi="仿宋" w:eastAsia="仿宋"/>
          <w:color w:val="000000" w:themeColor="text1"/>
          <w14:textFill>
            <w14:solidFill>
              <w14:schemeClr w14:val="tx1"/>
            </w14:solidFill>
          </w14:textFill>
        </w:rPr>
        <w:footnoteRef/>
      </w:r>
      <w:r>
        <w:rPr>
          <w:rFonts w:ascii="仿宋" w:hAnsi="仿宋" w:eastAsia="仿宋"/>
          <w:color w:val="000000" w:themeColor="text1"/>
          <w14:textFill>
            <w14:solidFill>
              <w14:schemeClr w14:val="tx1"/>
            </w14:solidFill>
          </w14:textFill>
        </w:rPr>
        <w:t xml:space="preserve"> 钱穆</w:t>
      </w:r>
      <w:r>
        <w:rPr>
          <w:rFonts w:hint="eastAsia" w:ascii="仿宋" w:hAnsi="仿宋" w:eastAsia="仿宋"/>
          <w:color w:val="000000" w:themeColor="text1"/>
          <w14:textFill>
            <w14:solidFill>
              <w14:schemeClr w14:val="tx1"/>
            </w14:solidFill>
          </w14:textFill>
        </w:rPr>
        <w:t>：《略论魏晋南北朝学术文化与当时门第之关系》，</w:t>
      </w:r>
      <w:r>
        <w:rPr>
          <w:rFonts w:ascii="仿宋" w:hAnsi="仿宋" w:eastAsia="仿宋"/>
          <w:color w:val="000000" w:themeColor="text1"/>
          <w14:textFill>
            <w14:solidFill>
              <w14:schemeClr w14:val="tx1"/>
            </w14:solidFill>
          </w14:textFill>
        </w:rPr>
        <w:t>《中国学术思想史论丛</w:t>
      </w:r>
      <w:r>
        <w:rPr>
          <w:rFonts w:hint="eastAsia" w:ascii="仿宋" w:hAnsi="仿宋" w:eastAsia="仿宋"/>
          <w:color w:val="000000" w:themeColor="text1"/>
          <w14:textFill>
            <w14:solidFill>
              <w14:schemeClr w14:val="tx1"/>
            </w14:solidFill>
          </w14:textFill>
        </w:rPr>
        <w:t>（三）</w:t>
      </w:r>
      <w:r>
        <w:rPr>
          <w:rFonts w:ascii="仿宋" w:hAnsi="仿宋" w:eastAsia="仿宋"/>
          <w:color w:val="000000" w:themeColor="text1"/>
          <w14:textFill>
            <w14:solidFill>
              <w14:schemeClr w14:val="tx1"/>
            </w14:solidFill>
          </w14:textFill>
        </w:rPr>
        <w:t>》</w:t>
      </w:r>
      <w:r>
        <w:rPr>
          <w:rFonts w:hint="eastAsia" w:ascii="仿宋" w:hAnsi="仿宋" w:eastAsia="仿宋"/>
          <w:color w:val="000000" w:themeColor="text1"/>
          <w14:textFill>
            <w14:solidFill>
              <w14:schemeClr w14:val="tx1"/>
            </w14:solidFill>
          </w14:textFill>
        </w:rPr>
        <w:t>，生活·读书·新知三联书店2</w:t>
      </w:r>
      <w:r>
        <w:rPr>
          <w:rFonts w:ascii="仿宋" w:hAnsi="仿宋" w:eastAsia="仿宋"/>
          <w:color w:val="000000" w:themeColor="text1"/>
          <w14:textFill>
            <w14:solidFill>
              <w14:schemeClr w14:val="tx1"/>
            </w14:solidFill>
          </w14:textFill>
        </w:rPr>
        <w:t>009</w:t>
      </w:r>
      <w:r>
        <w:rPr>
          <w:rFonts w:hint="eastAsia" w:ascii="仿宋" w:hAnsi="仿宋" w:eastAsia="仿宋"/>
          <w:color w:val="000000" w:themeColor="text1"/>
          <w14:textFill>
            <w14:solidFill>
              <w14:schemeClr w14:val="tx1"/>
            </w14:solidFill>
          </w14:textFill>
        </w:rPr>
        <w:t>年版，</w:t>
      </w:r>
      <w:r>
        <w:rPr>
          <w:rFonts w:ascii="仿宋" w:hAnsi="仿宋" w:eastAsia="仿宋"/>
          <w:color w:val="000000" w:themeColor="text1"/>
          <w14:textFill>
            <w14:solidFill>
              <w14:schemeClr w14:val="tx1"/>
            </w14:solidFill>
          </w14:textFill>
        </w:rPr>
        <w:t>第</w:t>
      </w:r>
      <w:r>
        <w:rPr>
          <w:rFonts w:hint="eastAsia" w:ascii="仿宋" w:hAnsi="仿宋" w:eastAsia="仿宋"/>
          <w:color w:val="000000" w:themeColor="text1"/>
          <w14:textFill>
            <w14:solidFill>
              <w14:schemeClr w14:val="tx1"/>
            </w14:solidFill>
          </w14:textFill>
        </w:rPr>
        <w:t>1</w:t>
      </w:r>
      <w:r>
        <w:rPr>
          <w:rFonts w:ascii="仿宋" w:hAnsi="仿宋" w:eastAsia="仿宋"/>
          <w:color w:val="000000" w:themeColor="text1"/>
          <w14:textFill>
            <w14:solidFill>
              <w14:schemeClr w14:val="tx1"/>
            </w14:solidFill>
          </w14:textFill>
        </w:rPr>
        <w:t>74页。</w:t>
      </w:r>
    </w:p>
  </w:footnote>
  <w:footnote w:id="25">
    <w:p>
      <w:pPr>
        <w:pStyle w:val="5"/>
        <w:spacing w:line="276" w:lineRule="auto"/>
        <w:ind w:left="420" w:leftChars="200"/>
        <w:rPr>
          <w:rFonts w:ascii="仿宋" w:hAnsi="仿宋" w:eastAsia="仿宋"/>
          <w:color w:val="000000" w:themeColor="text1"/>
          <w14:textFill>
            <w14:solidFill>
              <w14:schemeClr w14:val="tx1"/>
            </w14:solidFill>
          </w14:textFill>
        </w:rPr>
      </w:pPr>
      <w:r>
        <w:rPr>
          <w:rFonts w:ascii="仿宋" w:hAnsi="仿宋" w:eastAsia="仿宋"/>
          <w:color w:val="000000" w:themeColor="text1"/>
          <w14:textFill>
            <w14:solidFill>
              <w14:schemeClr w14:val="tx1"/>
            </w14:solidFill>
          </w14:textFill>
        </w:rPr>
        <w:footnoteRef/>
      </w:r>
      <w:r>
        <w:rPr>
          <w:rFonts w:ascii="仿宋" w:hAnsi="仿宋" w:eastAsia="仿宋"/>
          <w:color w:val="000000" w:themeColor="text1"/>
          <w14:textFill>
            <w14:solidFill>
              <w14:schemeClr w14:val="tx1"/>
            </w14:solidFill>
          </w14:textFill>
        </w:rPr>
        <w:t xml:space="preserve"> </w:t>
      </w:r>
      <w:r>
        <w:rPr>
          <w:rFonts w:hint="eastAsia" w:ascii="仿宋" w:hAnsi="仿宋" w:eastAsia="仿宋"/>
          <w:color w:val="000000" w:themeColor="text1"/>
          <w14:textFill>
            <w14:solidFill>
              <w14:schemeClr w14:val="tx1"/>
            </w14:solidFill>
          </w14:textFill>
        </w:rPr>
        <w:t>《昭陵碑石》，第1</w:t>
      </w:r>
      <w:r>
        <w:rPr>
          <w:rFonts w:ascii="仿宋" w:hAnsi="仿宋" w:eastAsia="仿宋"/>
          <w:color w:val="000000" w:themeColor="text1"/>
          <w14:textFill>
            <w14:solidFill>
              <w14:schemeClr w14:val="tx1"/>
            </w14:solidFill>
          </w14:textFill>
        </w:rPr>
        <w:t>05</w:t>
      </w:r>
      <w:r>
        <w:rPr>
          <w:rFonts w:hint="eastAsia" w:ascii="仿宋" w:hAnsi="仿宋" w:eastAsia="仿宋"/>
          <w:color w:val="000000" w:themeColor="text1"/>
          <w14:textFill>
            <w14:solidFill>
              <w14:schemeClr w14:val="tx1"/>
            </w14:solidFill>
          </w14:textFill>
        </w:rPr>
        <w:t>页。</w:t>
      </w:r>
    </w:p>
  </w:footnote>
  <w:footnote w:id="26">
    <w:p>
      <w:pPr>
        <w:pStyle w:val="5"/>
        <w:spacing w:line="276" w:lineRule="auto"/>
        <w:ind w:left="420" w:leftChars="200"/>
        <w:rPr>
          <w:rFonts w:ascii="仿宋" w:hAnsi="仿宋" w:eastAsia="仿宋"/>
          <w:color w:val="000000" w:themeColor="text1"/>
          <w:highlight w:val="yellow"/>
          <w14:textFill>
            <w14:solidFill>
              <w14:schemeClr w14:val="tx1"/>
            </w14:solidFill>
          </w14:textFill>
        </w:rPr>
      </w:pPr>
      <w:r>
        <w:rPr>
          <w:rFonts w:ascii="仿宋" w:hAnsi="仿宋" w:eastAsia="仿宋"/>
          <w:color w:val="000000" w:themeColor="text1"/>
          <w14:textFill>
            <w14:solidFill>
              <w14:schemeClr w14:val="tx1"/>
            </w14:solidFill>
          </w14:textFill>
        </w:rPr>
        <w:footnoteRef/>
      </w:r>
      <w:r>
        <w:rPr>
          <w:rFonts w:ascii="仿宋" w:hAnsi="仿宋" w:eastAsia="仿宋"/>
          <w:color w:val="000000" w:themeColor="text1"/>
          <w14:textFill>
            <w14:solidFill>
              <w14:schemeClr w14:val="tx1"/>
            </w14:solidFill>
          </w14:textFill>
        </w:rPr>
        <w:t xml:space="preserve"> 〔</w:t>
      </w:r>
      <w:r>
        <w:rPr>
          <w:rFonts w:hint="eastAsia" w:ascii="仿宋" w:hAnsi="仿宋" w:eastAsia="仿宋"/>
          <w:color w:val="000000" w:themeColor="text1"/>
          <w14:textFill>
            <w14:solidFill>
              <w14:schemeClr w14:val="tx1"/>
            </w14:solidFill>
          </w14:textFill>
        </w:rPr>
        <w:t>唐</w:t>
      </w:r>
      <w:r>
        <w:rPr>
          <w:rFonts w:ascii="仿宋" w:hAnsi="仿宋" w:eastAsia="仿宋"/>
          <w:color w:val="000000" w:themeColor="text1"/>
          <w14:textFill>
            <w14:solidFill>
              <w14:schemeClr w14:val="tx1"/>
            </w14:solidFill>
          </w14:textFill>
        </w:rPr>
        <w:t>〕</w:t>
      </w:r>
      <w:r>
        <w:rPr>
          <w:rFonts w:hint="eastAsia" w:ascii="仿宋" w:hAnsi="仿宋" w:eastAsia="仿宋"/>
          <w:color w:val="000000" w:themeColor="text1"/>
          <w14:textFill>
            <w14:solidFill>
              <w14:schemeClr w14:val="tx1"/>
            </w14:solidFill>
          </w14:textFill>
        </w:rPr>
        <w:t>魏徵：《隋书》卷四三，中华书局</w:t>
      </w:r>
      <w:r>
        <w:rPr>
          <w:rFonts w:ascii="仿宋" w:hAnsi="仿宋" w:eastAsia="仿宋"/>
          <w:color w:val="000000" w:themeColor="text1"/>
          <w14:textFill>
            <w14:solidFill>
              <w14:schemeClr w14:val="tx1"/>
            </w14:solidFill>
          </w14:textFill>
        </w:rPr>
        <w:t>1973年</w:t>
      </w:r>
      <w:r>
        <w:rPr>
          <w:rFonts w:hint="eastAsia" w:ascii="仿宋" w:hAnsi="仿宋" w:eastAsia="仿宋"/>
          <w:color w:val="000000" w:themeColor="text1"/>
          <w14:textFill>
            <w14:solidFill>
              <w14:schemeClr w14:val="tx1"/>
            </w14:solidFill>
          </w14:textFill>
        </w:rPr>
        <w:t>版，第1</w:t>
      </w:r>
      <w:r>
        <w:rPr>
          <w:rFonts w:ascii="仿宋" w:hAnsi="仿宋" w:eastAsia="仿宋"/>
          <w:color w:val="000000" w:themeColor="text1"/>
          <w14:textFill>
            <w14:solidFill>
              <w14:schemeClr w14:val="tx1"/>
            </w14:solidFill>
          </w14:textFill>
        </w:rPr>
        <w:t>217</w:t>
      </w:r>
      <w:r>
        <w:rPr>
          <w:rFonts w:hint="eastAsia" w:ascii="仿宋" w:hAnsi="仿宋" w:eastAsia="仿宋"/>
          <w:color w:val="000000" w:themeColor="text1"/>
          <w14:textFill>
            <w14:solidFill>
              <w14:schemeClr w14:val="tx1"/>
            </w14:solidFill>
          </w14:textFill>
        </w:rPr>
        <w:t>页。</w:t>
      </w:r>
    </w:p>
  </w:footnote>
  <w:footnote w:id="27">
    <w:p>
      <w:pPr>
        <w:pStyle w:val="5"/>
        <w:spacing w:line="276" w:lineRule="auto"/>
        <w:ind w:left="420" w:leftChars="200"/>
        <w:jc w:val="both"/>
        <w:rPr>
          <w:rFonts w:ascii="仿宋" w:hAnsi="仿宋" w:eastAsia="仿宋"/>
          <w:color w:val="000000" w:themeColor="text1"/>
          <w:highlight w:val="yellow"/>
          <w14:textFill>
            <w14:solidFill>
              <w14:schemeClr w14:val="tx1"/>
            </w14:solidFill>
          </w14:textFill>
        </w:rPr>
      </w:pPr>
      <w:r>
        <w:rPr>
          <w:rFonts w:ascii="仿宋" w:hAnsi="仿宋" w:eastAsia="仿宋"/>
          <w:color w:val="000000" w:themeColor="text1"/>
          <w14:textFill>
            <w14:solidFill>
              <w14:schemeClr w14:val="tx1"/>
            </w14:solidFill>
          </w14:textFill>
        </w:rPr>
        <w:footnoteRef/>
      </w:r>
      <w:r>
        <w:rPr>
          <w:rFonts w:hint="eastAsia" w:ascii="仿宋" w:hAnsi="仿宋" w:eastAsia="仿宋"/>
          <w:color w:val="000000" w:themeColor="text1"/>
          <w14:textFill>
            <w14:solidFill>
              <w14:schemeClr w14:val="tx1"/>
            </w14:solidFill>
          </w14:textFill>
        </w:rPr>
        <w:t xml:space="preserve"> 参见</w:t>
      </w:r>
      <w:r>
        <w:rPr>
          <w:rFonts w:ascii="仿宋" w:hAnsi="仿宋" w:eastAsia="仿宋"/>
          <w:color w:val="000000" w:themeColor="text1"/>
          <w14:textFill>
            <w14:solidFill>
              <w14:schemeClr w14:val="tx1"/>
            </w14:solidFill>
          </w14:textFill>
        </w:rPr>
        <w:t>刘子凡</w:t>
      </w:r>
      <w:r>
        <w:rPr>
          <w:rFonts w:hint="eastAsia" w:ascii="仿宋" w:hAnsi="仿宋" w:eastAsia="仿宋"/>
          <w:color w:val="000000" w:themeColor="text1"/>
          <w14:textFill>
            <w14:solidFill>
              <w14:schemeClr w14:val="tx1"/>
            </w14:solidFill>
          </w14:textFill>
        </w:rPr>
        <w:t>：《</w:t>
      </w:r>
      <w:bookmarkStart w:id="3" w:name="OLE_LINK4"/>
      <w:r>
        <w:rPr>
          <w:rFonts w:ascii="仿宋" w:hAnsi="仿宋" w:eastAsia="仿宋"/>
          <w:color w:val="000000" w:themeColor="text1"/>
          <w14:textFill>
            <w14:solidFill>
              <w14:schemeClr w14:val="tx1"/>
            </w14:solidFill>
          </w14:textFill>
        </w:rPr>
        <w:t>唐代徐氏家族及其文学家传</w:t>
      </w:r>
      <w:bookmarkEnd w:id="3"/>
      <w:r>
        <w:rPr>
          <w:rFonts w:hint="eastAsia" w:ascii="仿宋" w:hAnsi="仿宋" w:eastAsia="仿宋"/>
          <w:color w:val="000000" w:themeColor="text1"/>
          <w14:textFill>
            <w14:solidFill>
              <w14:schemeClr w14:val="tx1"/>
            </w14:solidFill>
          </w14:textFill>
        </w:rPr>
        <w:t>——以〈徐德墓志〉、〈徐齐聃墓志〉为中心》，《唐研究》第1</w:t>
      </w:r>
      <w:r>
        <w:rPr>
          <w:rFonts w:ascii="仿宋" w:hAnsi="仿宋" w:eastAsia="仿宋"/>
          <w:color w:val="000000" w:themeColor="text1"/>
          <w14:textFill>
            <w14:solidFill>
              <w14:schemeClr w14:val="tx1"/>
            </w14:solidFill>
          </w14:textFill>
        </w:rPr>
        <w:t>7</w:t>
      </w:r>
      <w:r>
        <w:rPr>
          <w:rFonts w:hint="eastAsia" w:ascii="仿宋" w:hAnsi="仿宋" w:eastAsia="仿宋"/>
          <w:color w:val="000000" w:themeColor="text1"/>
          <w14:textFill>
            <w14:solidFill>
              <w14:schemeClr w14:val="tx1"/>
            </w14:solidFill>
          </w14:textFill>
        </w:rPr>
        <w:t>卷，</w:t>
      </w:r>
      <w:r>
        <w:rPr>
          <w:rFonts w:ascii="仿宋" w:hAnsi="仿宋" w:eastAsia="仿宋"/>
          <w:color w:val="000000" w:themeColor="text1"/>
          <w14:textFill>
            <w14:solidFill>
              <w14:schemeClr w14:val="tx1"/>
            </w14:solidFill>
          </w14:textFill>
        </w:rPr>
        <w:t>北京大学出版社</w:t>
      </w:r>
      <w:r>
        <w:rPr>
          <w:rFonts w:hint="eastAsia" w:ascii="仿宋" w:hAnsi="仿宋" w:eastAsia="仿宋"/>
          <w:color w:val="000000" w:themeColor="text1"/>
          <w14:textFill>
            <w14:solidFill>
              <w14:schemeClr w14:val="tx1"/>
            </w14:solidFill>
          </w14:textFill>
        </w:rPr>
        <w:t>2011年版，第</w:t>
      </w:r>
      <w:r>
        <w:rPr>
          <w:rFonts w:ascii="仿宋" w:hAnsi="仿宋" w:eastAsia="仿宋"/>
          <w:color w:val="000000" w:themeColor="text1"/>
          <w14:textFill>
            <w14:solidFill>
              <w14:schemeClr w14:val="tx1"/>
            </w14:solidFill>
          </w14:textFill>
        </w:rPr>
        <w:t>287-304</w:t>
      </w:r>
      <w:r>
        <w:rPr>
          <w:rFonts w:hint="eastAsia" w:ascii="仿宋" w:hAnsi="仿宋" w:eastAsia="仿宋"/>
          <w:color w:val="000000" w:themeColor="text1"/>
          <w14:textFill>
            <w14:solidFill>
              <w14:schemeClr w14:val="tx1"/>
            </w14:solidFill>
          </w14:textFill>
        </w:rPr>
        <w:t>页；</w:t>
      </w:r>
      <w:r>
        <w:rPr>
          <w:rFonts w:ascii="仿宋" w:hAnsi="仿宋" w:eastAsia="仿宋"/>
          <w:color w:val="000000" w:themeColor="text1"/>
          <w14:textFill>
            <w14:solidFill>
              <w14:schemeClr w14:val="tx1"/>
            </w14:solidFill>
          </w14:textFill>
        </w:rPr>
        <w:t>胡可先</w:t>
      </w:r>
      <w:r>
        <w:rPr>
          <w:rFonts w:hint="eastAsia" w:ascii="仿宋" w:hAnsi="仿宋" w:eastAsia="仿宋"/>
          <w:color w:val="000000" w:themeColor="text1"/>
          <w14:textFill>
            <w14:solidFill>
              <w14:schemeClr w14:val="tx1"/>
            </w14:solidFill>
          </w14:textFill>
        </w:rPr>
        <w:t>、</w:t>
      </w:r>
      <w:r>
        <w:rPr>
          <w:rFonts w:ascii="仿宋" w:hAnsi="仿宋" w:eastAsia="仿宋"/>
          <w:color w:val="000000" w:themeColor="text1"/>
          <w14:textFill>
            <w14:solidFill>
              <w14:schemeClr w14:val="tx1"/>
            </w14:solidFill>
          </w14:textFill>
        </w:rPr>
        <w:t>孟国栋</w:t>
      </w:r>
      <w:r>
        <w:rPr>
          <w:rFonts w:hint="eastAsia" w:ascii="仿宋" w:hAnsi="仿宋" w:eastAsia="仿宋"/>
          <w:color w:val="000000" w:themeColor="text1"/>
          <w14:textFill>
            <w14:solidFill>
              <w14:schemeClr w14:val="tx1"/>
            </w14:solidFill>
          </w14:textFill>
        </w:rPr>
        <w:t>、</w:t>
      </w:r>
      <w:r>
        <w:rPr>
          <w:rFonts w:ascii="仿宋" w:hAnsi="仿宋" w:eastAsia="仿宋"/>
          <w:color w:val="000000" w:themeColor="text1"/>
          <w14:textFill>
            <w14:solidFill>
              <w14:schemeClr w14:val="tx1"/>
            </w14:solidFill>
          </w14:textFill>
        </w:rPr>
        <w:t>武晓红：《考古发现与唐代文学研究》，浙江大学出版社2014年</w:t>
      </w:r>
      <w:r>
        <w:rPr>
          <w:rFonts w:hint="eastAsia" w:ascii="仿宋" w:hAnsi="仿宋" w:eastAsia="仿宋"/>
          <w:color w:val="000000" w:themeColor="text1"/>
          <w14:textFill>
            <w14:solidFill>
              <w14:schemeClr w14:val="tx1"/>
            </w14:solidFill>
          </w14:textFill>
        </w:rPr>
        <w:t>版，</w:t>
      </w:r>
      <w:r>
        <w:rPr>
          <w:rFonts w:ascii="仿宋" w:hAnsi="仿宋" w:eastAsia="仿宋"/>
          <w:color w:val="000000" w:themeColor="text1"/>
          <w14:textFill>
            <w14:solidFill>
              <w14:schemeClr w14:val="tx1"/>
            </w14:solidFill>
          </w14:textFill>
        </w:rPr>
        <w:t>第164-168页</w:t>
      </w:r>
      <w:r>
        <w:rPr>
          <w:rFonts w:hint="eastAsia" w:ascii="仿宋" w:hAnsi="仿宋" w:eastAsia="仿宋"/>
          <w:color w:val="000000" w:themeColor="text1"/>
          <w14:textFill>
            <w14:solidFill>
              <w14:schemeClr w14:val="tx1"/>
            </w14:solidFill>
          </w14:textFill>
        </w:rPr>
        <w:t>。</w:t>
      </w:r>
    </w:p>
  </w:footnote>
  <w:footnote w:id="28">
    <w:p>
      <w:pPr>
        <w:pStyle w:val="5"/>
        <w:spacing w:line="276" w:lineRule="auto"/>
        <w:ind w:left="420" w:leftChars="200"/>
        <w:rPr>
          <w:rFonts w:ascii="仿宋" w:hAnsi="仿宋" w:eastAsia="仿宋"/>
          <w:color w:val="000000" w:themeColor="text1"/>
          <w14:textFill>
            <w14:solidFill>
              <w14:schemeClr w14:val="tx1"/>
            </w14:solidFill>
          </w14:textFill>
        </w:rPr>
      </w:pPr>
      <w:r>
        <w:rPr>
          <w:rFonts w:ascii="仿宋" w:hAnsi="仿宋" w:eastAsia="仿宋"/>
          <w:color w:val="000000" w:themeColor="text1"/>
          <w14:textFill>
            <w14:solidFill>
              <w14:schemeClr w14:val="tx1"/>
            </w14:solidFill>
          </w14:textFill>
        </w:rPr>
        <w:footnoteRef/>
      </w:r>
      <w:r>
        <w:rPr>
          <w:rFonts w:ascii="仿宋" w:hAnsi="仿宋" w:eastAsia="仿宋"/>
          <w:color w:val="000000" w:themeColor="text1"/>
          <w14:textFill>
            <w14:solidFill>
              <w14:schemeClr w14:val="tx1"/>
            </w14:solidFill>
          </w14:textFill>
        </w:rPr>
        <w:t xml:space="preserve"> </w:t>
      </w:r>
      <w:r>
        <w:rPr>
          <w:rFonts w:hint="eastAsia" w:ascii="仿宋" w:hAnsi="仿宋" w:eastAsia="仿宋"/>
          <w:color w:val="000000" w:themeColor="text1"/>
          <w14:textFill>
            <w14:solidFill>
              <w14:schemeClr w14:val="tx1"/>
            </w14:solidFill>
          </w14:textFill>
        </w:rPr>
        <w:t>《新唐书》卷七六，第3472页。</w:t>
      </w:r>
    </w:p>
  </w:footnote>
  <w:footnote w:id="29">
    <w:p>
      <w:pPr>
        <w:pStyle w:val="5"/>
        <w:spacing w:line="276" w:lineRule="auto"/>
        <w:ind w:left="420" w:leftChars="200"/>
        <w:rPr>
          <w:rFonts w:ascii="仿宋" w:hAnsi="仿宋" w:eastAsia="仿宋"/>
          <w:color w:val="000000" w:themeColor="text1"/>
          <w:highlight w:val="yellow"/>
          <w14:textFill>
            <w14:solidFill>
              <w14:schemeClr w14:val="tx1"/>
            </w14:solidFill>
          </w14:textFill>
        </w:rPr>
      </w:pPr>
      <w:r>
        <w:rPr>
          <w:rFonts w:ascii="仿宋" w:hAnsi="仿宋" w:eastAsia="仿宋"/>
          <w:color w:val="000000" w:themeColor="text1"/>
          <w14:textFill>
            <w14:solidFill>
              <w14:schemeClr w14:val="tx1"/>
            </w14:solidFill>
          </w14:textFill>
        </w:rPr>
        <w:footnoteRef/>
      </w:r>
      <w:r>
        <w:rPr>
          <w:rFonts w:hint="eastAsia" w:ascii="仿宋" w:hAnsi="仿宋" w:eastAsia="仿宋"/>
          <w:color w:val="000000" w:themeColor="text1"/>
          <w14:textFill>
            <w14:solidFill>
              <w14:schemeClr w14:val="tx1"/>
            </w14:solidFill>
          </w14:textFill>
        </w:rPr>
        <w:t xml:space="preserve"> </w:t>
      </w:r>
      <w:r>
        <w:rPr>
          <w:rFonts w:ascii="仿宋" w:hAnsi="仿宋" w:eastAsia="仿宋"/>
          <w:color w:val="000000" w:themeColor="text1"/>
          <w14:textFill>
            <w14:solidFill>
              <w14:schemeClr w14:val="tx1"/>
            </w14:solidFill>
          </w14:textFill>
        </w:rPr>
        <w:t>《昭陵碑石》，第</w:t>
      </w:r>
      <w:r>
        <w:rPr>
          <w:rFonts w:hint="eastAsia" w:ascii="仿宋" w:hAnsi="仿宋" w:eastAsia="仿宋"/>
          <w:color w:val="000000" w:themeColor="text1"/>
          <w14:textFill>
            <w14:solidFill>
              <w14:schemeClr w14:val="tx1"/>
            </w14:solidFill>
          </w14:textFill>
        </w:rPr>
        <w:t>1</w:t>
      </w:r>
      <w:r>
        <w:rPr>
          <w:rFonts w:ascii="仿宋" w:hAnsi="仿宋" w:eastAsia="仿宋"/>
          <w:color w:val="000000" w:themeColor="text1"/>
          <w14:textFill>
            <w14:solidFill>
              <w14:schemeClr w14:val="tx1"/>
            </w14:solidFill>
          </w14:textFill>
        </w:rPr>
        <w:t>96-197页</w:t>
      </w:r>
      <w:r>
        <w:rPr>
          <w:rFonts w:hint="eastAsia" w:ascii="仿宋" w:hAnsi="仿宋" w:eastAsia="仿宋"/>
          <w:color w:val="000000" w:themeColor="text1"/>
          <w14:textFill>
            <w14:solidFill>
              <w14:schemeClr w14:val="tx1"/>
            </w14:solidFill>
          </w14:textFill>
        </w:rPr>
        <w:t>。</w:t>
      </w:r>
    </w:p>
  </w:footnote>
  <w:footnote w:id="30">
    <w:p>
      <w:pPr>
        <w:pStyle w:val="5"/>
        <w:spacing w:line="276" w:lineRule="auto"/>
        <w:ind w:left="420" w:leftChars="200"/>
        <w:rPr>
          <w:rFonts w:ascii="宋体" w:hAnsi="宋体" w:eastAsia="宋体"/>
          <w:color w:val="000000" w:themeColor="text1"/>
          <w:highlight w:val="yellow"/>
          <w14:textFill>
            <w14:solidFill>
              <w14:schemeClr w14:val="tx1"/>
            </w14:solidFill>
          </w14:textFill>
        </w:rPr>
      </w:pPr>
      <w:r>
        <w:rPr>
          <w:rFonts w:ascii="仿宋" w:hAnsi="仿宋" w:eastAsia="仿宋"/>
          <w:color w:val="000000" w:themeColor="text1"/>
          <w14:textFill>
            <w14:solidFill>
              <w14:schemeClr w14:val="tx1"/>
            </w14:solidFill>
          </w14:textFill>
        </w:rPr>
        <w:footnoteRef/>
      </w:r>
      <w:r>
        <w:rPr>
          <w:rFonts w:ascii="仿宋" w:hAnsi="仿宋" w:eastAsia="仿宋"/>
          <w:color w:val="000000" w:themeColor="text1"/>
          <w14:textFill>
            <w14:solidFill>
              <w14:schemeClr w14:val="tx1"/>
            </w14:solidFill>
          </w14:textFill>
        </w:rPr>
        <w:t xml:space="preserve"> </w:t>
      </w:r>
      <w:r>
        <w:rPr>
          <w:rFonts w:hint="eastAsia" w:ascii="仿宋" w:hAnsi="仿宋" w:eastAsia="仿宋"/>
          <w:color w:val="000000" w:themeColor="text1"/>
          <w14:textFill>
            <w14:solidFill>
              <w14:schemeClr w14:val="tx1"/>
            </w14:solidFill>
          </w14:textFill>
        </w:rPr>
        <w:t>钱志熙：《</w:t>
      </w:r>
      <w:r>
        <w:rPr>
          <w:rFonts w:ascii="仿宋" w:hAnsi="仿宋" w:eastAsia="仿宋"/>
          <w:color w:val="000000" w:themeColor="text1"/>
          <w14:textFill>
            <w14:solidFill>
              <w14:schemeClr w14:val="tx1"/>
            </w14:solidFill>
          </w14:textFill>
        </w:rPr>
        <w:t>士大夫文化视角中的中国古代女性诗歌发展史</w:t>
      </w:r>
      <w:r>
        <w:rPr>
          <w:rFonts w:hint="eastAsia" w:ascii="仿宋" w:hAnsi="仿宋" w:eastAsia="仿宋"/>
          <w:color w:val="000000" w:themeColor="text1"/>
          <w14:textFill>
            <w14:solidFill>
              <w14:schemeClr w14:val="tx1"/>
            </w14:solidFill>
          </w14:textFill>
        </w:rPr>
        <w:t>》，《中国高校社会科学》2</w:t>
      </w:r>
      <w:r>
        <w:rPr>
          <w:rFonts w:ascii="仿宋" w:hAnsi="仿宋" w:eastAsia="仿宋"/>
          <w:color w:val="000000" w:themeColor="text1"/>
          <w14:textFill>
            <w14:solidFill>
              <w14:schemeClr w14:val="tx1"/>
            </w14:solidFill>
          </w14:textFill>
        </w:rPr>
        <w:t>019</w:t>
      </w:r>
      <w:r>
        <w:rPr>
          <w:rFonts w:hint="eastAsia" w:ascii="仿宋" w:hAnsi="仿宋" w:eastAsia="仿宋"/>
          <w:color w:val="000000" w:themeColor="text1"/>
          <w14:textFill>
            <w14:solidFill>
              <w14:schemeClr w14:val="tx1"/>
            </w14:solidFill>
          </w14:textFill>
        </w:rPr>
        <w:t>年第5期，第1</w:t>
      </w:r>
      <w:r>
        <w:rPr>
          <w:rFonts w:ascii="仿宋" w:hAnsi="仿宋" w:eastAsia="仿宋"/>
          <w:color w:val="000000" w:themeColor="text1"/>
          <w14:textFill>
            <w14:solidFill>
              <w14:schemeClr w14:val="tx1"/>
            </w14:solidFill>
          </w14:textFill>
        </w:rPr>
        <w:t>02</w:t>
      </w:r>
      <w:r>
        <w:rPr>
          <w:rFonts w:hint="eastAsia" w:ascii="仿宋" w:hAnsi="仿宋" w:eastAsia="仿宋"/>
          <w:color w:val="000000" w:themeColor="text1"/>
          <w14:textFill>
            <w14:solidFill>
              <w14:schemeClr w14:val="tx1"/>
            </w14:solidFill>
          </w14:textFill>
        </w:rPr>
        <w:t>页。</w:t>
      </w:r>
    </w:p>
  </w:footnote>
  <w:footnote w:id="31">
    <w:p>
      <w:pPr>
        <w:pStyle w:val="5"/>
        <w:spacing w:line="276" w:lineRule="auto"/>
        <w:ind w:left="420" w:leftChars="200"/>
        <w:rPr>
          <w:rFonts w:ascii="仿宋" w:hAnsi="仿宋" w:eastAsia="仿宋"/>
          <w:color w:val="000000" w:themeColor="text1"/>
          <w:highlight w:val="yellow"/>
          <w14:textFill>
            <w14:solidFill>
              <w14:schemeClr w14:val="tx1"/>
            </w14:solidFill>
          </w14:textFill>
        </w:rPr>
      </w:pPr>
      <w:r>
        <w:rPr>
          <w:rFonts w:ascii="仿宋" w:hAnsi="仿宋" w:eastAsia="仿宋"/>
          <w:color w:val="000000" w:themeColor="text1"/>
          <w14:textFill>
            <w14:solidFill>
              <w14:schemeClr w14:val="tx1"/>
            </w14:solidFill>
          </w14:textFill>
        </w:rPr>
        <w:footnoteRef/>
      </w:r>
      <w:r>
        <w:rPr>
          <w:rFonts w:ascii="仿宋" w:hAnsi="仿宋" w:eastAsia="仿宋"/>
          <w:color w:val="000000" w:themeColor="text1"/>
          <w14:textFill>
            <w14:solidFill>
              <w14:schemeClr w14:val="tx1"/>
            </w14:solidFill>
          </w14:textFill>
        </w:rPr>
        <w:t xml:space="preserve"> </w:t>
      </w:r>
      <w:r>
        <w:rPr>
          <w:rFonts w:hint="eastAsia" w:ascii="仿宋" w:hAnsi="仿宋" w:eastAsia="仿宋"/>
          <w:color w:val="000000" w:themeColor="text1"/>
          <w14:textFill>
            <w14:solidFill>
              <w14:schemeClr w14:val="tx1"/>
            </w14:solidFill>
          </w14:textFill>
        </w:rPr>
        <w:t>《新唐书》</w:t>
      </w:r>
      <w:r>
        <w:rPr>
          <w:rFonts w:ascii="仿宋" w:hAnsi="仿宋" w:eastAsia="仿宋"/>
          <w:color w:val="000000" w:themeColor="text1"/>
          <w14:textFill>
            <w14:solidFill>
              <w14:schemeClr w14:val="tx1"/>
            </w14:solidFill>
          </w14:textFill>
        </w:rPr>
        <w:t>卷七六，第3471页</w:t>
      </w:r>
      <w:r>
        <w:rPr>
          <w:rFonts w:hint="eastAsia" w:ascii="仿宋" w:hAnsi="仿宋" w:eastAsia="仿宋"/>
          <w:color w:val="000000" w:themeColor="text1"/>
          <w14:textFill>
            <w14:solidFill>
              <w14:schemeClr w14:val="tx1"/>
            </w14:solidFill>
          </w14:textFill>
        </w:rPr>
        <w:t>。</w:t>
      </w:r>
    </w:p>
  </w:footnote>
  <w:footnote w:id="32">
    <w:p>
      <w:pPr>
        <w:pStyle w:val="5"/>
        <w:spacing w:line="276" w:lineRule="auto"/>
        <w:ind w:left="420" w:leftChars="200"/>
        <w:rPr>
          <w:rFonts w:ascii="仿宋" w:hAnsi="仿宋" w:eastAsia="仿宋"/>
          <w:color w:val="000000" w:themeColor="text1"/>
          <w:highlight w:val="yellow"/>
          <w14:textFill>
            <w14:solidFill>
              <w14:schemeClr w14:val="tx1"/>
            </w14:solidFill>
          </w14:textFill>
        </w:rPr>
      </w:pPr>
      <w:r>
        <w:rPr>
          <w:rFonts w:ascii="仿宋" w:hAnsi="仿宋" w:eastAsia="仿宋"/>
          <w:color w:val="000000" w:themeColor="text1"/>
          <w14:textFill>
            <w14:solidFill>
              <w14:schemeClr w14:val="tx1"/>
            </w14:solidFill>
          </w14:textFill>
        </w:rPr>
        <w:footnoteRef/>
      </w:r>
      <w:r>
        <w:rPr>
          <w:rFonts w:ascii="仿宋" w:hAnsi="仿宋" w:eastAsia="仿宋"/>
          <w:color w:val="000000" w:themeColor="text1"/>
          <w14:textFill>
            <w14:solidFill>
              <w14:schemeClr w14:val="tx1"/>
            </w14:solidFill>
          </w14:textFill>
        </w:rPr>
        <w:t xml:space="preserve"> </w:t>
      </w:r>
      <w:r>
        <w:rPr>
          <w:rFonts w:hint="eastAsia" w:ascii="仿宋" w:hAnsi="仿宋" w:eastAsia="仿宋"/>
          <w:color w:val="000000" w:themeColor="text1"/>
          <w14:textFill>
            <w14:solidFill>
              <w14:schemeClr w14:val="tx1"/>
            </w14:solidFill>
          </w14:textFill>
        </w:rPr>
        <w:t>[美]柯睿著，贾晋华等译：《舞马与驯鸢：柯睿自选集》，南京大学出版社2</w:t>
      </w:r>
      <w:r>
        <w:rPr>
          <w:rFonts w:ascii="仿宋" w:hAnsi="仿宋" w:eastAsia="仿宋"/>
          <w:color w:val="000000" w:themeColor="text1"/>
          <w14:textFill>
            <w14:solidFill>
              <w14:schemeClr w14:val="tx1"/>
            </w14:solidFill>
          </w14:textFill>
        </w:rPr>
        <w:t>021</w:t>
      </w:r>
      <w:r>
        <w:rPr>
          <w:rFonts w:hint="eastAsia" w:ascii="仿宋" w:hAnsi="仿宋" w:eastAsia="仿宋"/>
          <w:color w:val="000000" w:themeColor="text1"/>
          <w14:textFill>
            <w14:solidFill>
              <w14:schemeClr w14:val="tx1"/>
            </w14:solidFill>
          </w14:textFill>
        </w:rPr>
        <w:t>年版，第9</w:t>
      </w:r>
      <w:r>
        <w:rPr>
          <w:rFonts w:ascii="仿宋" w:hAnsi="仿宋" w:eastAsia="仿宋"/>
          <w:color w:val="000000" w:themeColor="text1"/>
          <w14:textFill>
            <w14:solidFill>
              <w14:schemeClr w14:val="tx1"/>
            </w14:solidFill>
          </w14:textFill>
        </w:rPr>
        <w:t>3</w:t>
      </w:r>
      <w:r>
        <w:rPr>
          <w:rFonts w:hint="eastAsia" w:ascii="仿宋" w:hAnsi="仿宋" w:eastAsia="仿宋"/>
          <w:color w:val="000000" w:themeColor="text1"/>
          <w14:textFill>
            <w14:solidFill>
              <w14:schemeClr w14:val="tx1"/>
            </w14:solidFill>
          </w14:textFill>
        </w:rPr>
        <w:t>页。</w:t>
      </w:r>
    </w:p>
  </w:footnote>
  <w:footnote w:id="33">
    <w:p>
      <w:pPr>
        <w:pStyle w:val="5"/>
        <w:spacing w:line="276" w:lineRule="auto"/>
        <w:ind w:left="420" w:leftChars="200"/>
        <w:rPr>
          <w:rFonts w:ascii="仿宋" w:hAnsi="仿宋" w:eastAsia="仿宋"/>
          <w:color w:val="000000" w:themeColor="text1"/>
          <w:highlight w:val="yellow"/>
          <w14:textFill>
            <w14:solidFill>
              <w14:schemeClr w14:val="tx1"/>
            </w14:solidFill>
          </w14:textFill>
        </w:rPr>
      </w:pPr>
      <w:r>
        <w:rPr>
          <w:rFonts w:ascii="仿宋" w:hAnsi="仿宋" w:eastAsia="仿宋"/>
          <w:color w:val="000000" w:themeColor="text1"/>
          <w14:textFill>
            <w14:solidFill>
              <w14:schemeClr w14:val="tx1"/>
            </w14:solidFill>
          </w14:textFill>
        </w:rPr>
        <w:footnoteRef/>
      </w:r>
      <w:r>
        <w:rPr>
          <w:rFonts w:hint="eastAsia" w:ascii="仿宋" w:hAnsi="仿宋" w:eastAsia="仿宋"/>
          <w:color w:val="000000" w:themeColor="text1"/>
          <w14:textFill>
            <w14:solidFill>
              <w14:schemeClr w14:val="tx1"/>
            </w14:solidFill>
          </w14:textFill>
        </w:rPr>
        <w:t xml:space="preserve"> 《新唐书》</w:t>
      </w:r>
      <w:r>
        <w:rPr>
          <w:rFonts w:ascii="仿宋" w:hAnsi="仿宋" w:eastAsia="仿宋"/>
          <w:color w:val="000000" w:themeColor="text1"/>
          <w14:textFill>
            <w14:solidFill>
              <w14:schemeClr w14:val="tx1"/>
            </w14:solidFill>
          </w14:textFill>
        </w:rPr>
        <w:t>卷七六，第3472页</w:t>
      </w:r>
      <w:r>
        <w:rPr>
          <w:rFonts w:hint="eastAsia" w:ascii="仿宋" w:hAnsi="仿宋" w:eastAsia="仿宋"/>
          <w:color w:val="000000" w:themeColor="text1"/>
          <w14:textFill>
            <w14:solidFill>
              <w14:schemeClr w14:val="tx1"/>
            </w14:solidFill>
          </w14:textFill>
        </w:rPr>
        <w:t>。</w:t>
      </w:r>
      <w:r>
        <w:rPr>
          <w:rFonts w:ascii="仿宋" w:hAnsi="仿宋" w:eastAsia="仿宋"/>
          <w:color w:val="000000" w:themeColor="text1"/>
          <w14:textFill>
            <w14:solidFill>
              <w14:schemeClr w14:val="tx1"/>
            </w14:solidFill>
          </w14:textFill>
        </w:rPr>
        <w:t xml:space="preserve"> </w:t>
      </w:r>
    </w:p>
  </w:footnote>
  <w:footnote w:id="34">
    <w:p>
      <w:pPr>
        <w:pStyle w:val="5"/>
        <w:spacing w:line="276" w:lineRule="auto"/>
        <w:ind w:left="420" w:leftChars="200"/>
        <w:rPr>
          <w:rFonts w:ascii="仿宋" w:hAnsi="仿宋" w:eastAsia="仿宋"/>
          <w:color w:val="000000" w:themeColor="text1"/>
          <w:highlight w:val="yellow"/>
          <w14:textFill>
            <w14:solidFill>
              <w14:schemeClr w14:val="tx1"/>
            </w14:solidFill>
          </w14:textFill>
        </w:rPr>
      </w:pPr>
      <w:r>
        <w:rPr>
          <w:rFonts w:ascii="仿宋" w:hAnsi="仿宋" w:eastAsia="仿宋"/>
          <w:color w:val="000000" w:themeColor="text1"/>
          <w14:textFill>
            <w14:solidFill>
              <w14:schemeClr w14:val="tx1"/>
            </w14:solidFill>
          </w14:textFill>
        </w:rPr>
        <w:footnoteRef/>
      </w:r>
      <w:r>
        <w:rPr>
          <w:rFonts w:ascii="仿宋" w:hAnsi="仿宋" w:eastAsia="仿宋"/>
          <w:color w:val="000000" w:themeColor="text1"/>
          <w14:textFill>
            <w14:solidFill>
              <w14:schemeClr w14:val="tx1"/>
            </w14:solidFill>
          </w14:textFill>
        </w:rPr>
        <w:t xml:space="preserve"> </w:t>
      </w:r>
      <w:r>
        <w:rPr>
          <w:rFonts w:hint="eastAsia" w:ascii="仿宋" w:hAnsi="仿宋" w:eastAsia="仿宋"/>
          <w:color w:val="000000" w:themeColor="text1"/>
          <w14:textFill>
            <w14:solidFill>
              <w14:schemeClr w14:val="tx1"/>
            </w14:solidFill>
          </w14:textFill>
        </w:rPr>
        <w:t>〔宋</w:t>
      </w:r>
      <w:r>
        <w:rPr>
          <w:rFonts w:ascii="仿宋" w:hAnsi="仿宋" w:eastAsia="仿宋"/>
          <w:color w:val="000000" w:themeColor="text1"/>
          <w14:textFill>
            <w14:solidFill>
              <w14:schemeClr w14:val="tx1"/>
            </w14:solidFill>
          </w14:textFill>
        </w:rPr>
        <w:t>〕</w:t>
      </w:r>
      <w:r>
        <w:rPr>
          <w:rFonts w:hint="eastAsia" w:ascii="仿宋" w:hAnsi="仿宋" w:eastAsia="仿宋"/>
          <w:color w:val="000000" w:themeColor="text1"/>
          <w14:textFill>
            <w14:solidFill>
              <w14:schemeClr w14:val="tx1"/>
            </w14:solidFill>
          </w14:textFill>
        </w:rPr>
        <w:t>叶适：</w:t>
      </w:r>
      <w:r>
        <w:rPr>
          <w:rFonts w:ascii="仿宋" w:hAnsi="仿宋" w:eastAsia="仿宋"/>
          <w:color w:val="000000" w:themeColor="text1"/>
          <w14:textFill>
            <w14:solidFill>
              <w14:schemeClr w14:val="tx1"/>
            </w14:solidFill>
          </w14:textFill>
        </w:rPr>
        <w:t>《</w:t>
      </w:r>
      <w:r>
        <w:rPr>
          <w:rFonts w:hint="eastAsia" w:ascii="仿宋" w:hAnsi="仿宋" w:eastAsia="仿宋"/>
          <w:color w:val="000000" w:themeColor="text1"/>
          <w14:textFill>
            <w14:solidFill>
              <w14:schemeClr w14:val="tx1"/>
            </w14:solidFill>
          </w14:textFill>
        </w:rPr>
        <w:t>习学记言序目</w:t>
      </w:r>
      <w:r>
        <w:rPr>
          <w:rFonts w:ascii="仿宋" w:hAnsi="仿宋" w:eastAsia="仿宋"/>
          <w:color w:val="000000" w:themeColor="text1"/>
          <w14:textFill>
            <w14:solidFill>
              <w14:schemeClr w14:val="tx1"/>
            </w14:solidFill>
          </w14:textFill>
        </w:rPr>
        <w:t>》</w:t>
      </w:r>
      <w:r>
        <w:rPr>
          <w:rFonts w:hint="eastAsia" w:ascii="仿宋" w:hAnsi="仿宋" w:eastAsia="仿宋"/>
          <w:color w:val="000000" w:themeColor="text1"/>
          <w14:textFill>
            <w14:solidFill>
              <w14:schemeClr w14:val="tx1"/>
            </w14:solidFill>
          </w14:textFill>
        </w:rPr>
        <w:t>卷四〇，中华书局1977年版，第591页。</w:t>
      </w:r>
    </w:p>
  </w:footnote>
  <w:footnote w:id="35">
    <w:p>
      <w:pPr>
        <w:pStyle w:val="5"/>
        <w:spacing w:line="276" w:lineRule="auto"/>
        <w:ind w:left="420" w:leftChars="200"/>
        <w:rPr>
          <w:rFonts w:ascii="仿宋" w:hAnsi="仿宋" w:eastAsia="仿宋"/>
          <w:color w:val="000000" w:themeColor="text1"/>
          <w14:textFill>
            <w14:solidFill>
              <w14:schemeClr w14:val="tx1"/>
            </w14:solidFill>
          </w14:textFill>
        </w:rPr>
      </w:pPr>
      <w:r>
        <w:rPr>
          <w:rFonts w:ascii="仿宋" w:hAnsi="仿宋" w:eastAsia="仿宋"/>
          <w:color w:val="000000" w:themeColor="text1"/>
          <w14:textFill>
            <w14:solidFill>
              <w14:schemeClr w14:val="tx1"/>
            </w14:solidFill>
          </w14:textFill>
        </w:rPr>
        <w:footnoteRef/>
      </w:r>
      <w:r>
        <w:rPr>
          <w:rFonts w:ascii="仿宋" w:hAnsi="仿宋" w:eastAsia="仿宋"/>
          <w:color w:val="000000" w:themeColor="text1"/>
          <w14:textFill>
            <w14:solidFill>
              <w14:schemeClr w14:val="tx1"/>
            </w14:solidFill>
          </w14:textFill>
        </w:rPr>
        <w:t xml:space="preserve"> </w:t>
      </w:r>
      <w:r>
        <w:rPr>
          <w:rFonts w:hint="eastAsia" w:ascii="仿宋" w:hAnsi="仿宋" w:eastAsia="仿宋"/>
          <w:color w:val="000000" w:themeColor="text1"/>
          <w14:textFill>
            <w14:solidFill>
              <w14:schemeClr w14:val="tx1"/>
            </w14:solidFill>
          </w14:textFill>
        </w:rPr>
        <w:t>《隋书》卷三六，第1</w:t>
      </w:r>
      <w:r>
        <w:rPr>
          <w:rFonts w:ascii="仿宋" w:hAnsi="仿宋" w:eastAsia="仿宋"/>
          <w:color w:val="000000" w:themeColor="text1"/>
          <w14:textFill>
            <w14:solidFill>
              <w14:schemeClr w14:val="tx1"/>
            </w14:solidFill>
          </w14:textFill>
        </w:rPr>
        <w:t>111</w:t>
      </w:r>
      <w:r>
        <w:rPr>
          <w:rFonts w:hint="eastAsia" w:ascii="仿宋" w:hAnsi="仿宋" w:eastAsia="仿宋"/>
          <w:color w:val="000000" w:themeColor="text1"/>
          <w14:textFill>
            <w14:solidFill>
              <w14:schemeClr w14:val="tx1"/>
            </w14:solidFill>
          </w14:textFill>
        </w:rPr>
        <w:t>页。</w:t>
      </w:r>
    </w:p>
  </w:footnote>
  <w:footnote w:id="36">
    <w:p>
      <w:pPr>
        <w:pStyle w:val="5"/>
        <w:spacing w:line="276" w:lineRule="auto"/>
        <w:ind w:left="420" w:leftChars="200"/>
        <w:rPr>
          <w:rFonts w:ascii="仿宋" w:hAnsi="仿宋" w:eastAsia="仿宋"/>
          <w:color w:val="000000" w:themeColor="text1"/>
          <w:highlight w:val="yellow"/>
          <w14:textFill>
            <w14:solidFill>
              <w14:schemeClr w14:val="tx1"/>
            </w14:solidFill>
          </w14:textFill>
        </w:rPr>
      </w:pPr>
      <w:r>
        <w:rPr>
          <w:rFonts w:ascii="仿宋" w:hAnsi="仿宋" w:eastAsia="仿宋"/>
          <w:color w:val="000000" w:themeColor="text1"/>
          <w14:textFill>
            <w14:solidFill>
              <w14:schemeClr w14:val="tx1"/>
            </w14:solidFill>
          </w14:textFill>
        </w:rPr>
        <w:footnoteRef/>
      </w:r>
      <w:r>
        <w:rPr>
          <w:rFonts w:hint="eastAsia" w:ascii="仿宋" w:hAnsi="仿宋" w:eastAsia="仿宋"/>
          <w:color w:val="000000" w:themeColor="text1"/>
          <w14:textFill>
            <w14:solidFill>
              <w14:schemeClr w14:val="tx1"/>
            </w14:solidFill>
          </w14:textFill>
        </w:rPr>
        <w:t xml:space="preserve"> 《昭陵碑石》，第197页。</w:t>
      </w:r>
    </w:p>
  </w:footnote>
  <w:footnote w:id="37">
    <w:p>
      <w:pPr>
        <w:pStyle w:val="5"/>
        <w:spacing w:line="276" w:lineRule="auto"/>
        <w:ind w:left="420" w:leftChars="200"/>
        <w:rPr>
          <w:rFonts w:ascii="仿宋" w:hAnsi="仿宋" w:eastAsia="仿宋"/>
          <w:color w:val="000000" w:themeColor="text1"/>
          <w:highlight w:val="yellow"/>
          <w14:textFill>
            <w14:solidFill>
              <w14:schemeClr w14:val="tx1"/>
            </w14:solidFill>
          </w14:textFill>
        </w:rPr>
      </w:pPr>
      <w:r>
        <w:rPr>
          <w:rFonts w:ascii="仿宋" w:hAnsi="仿宋" w:eastAsia="仿宋"/>
          <w:color w:val="000000" w:themeColor="text1"/>
          <w14:textFill>
            <w14:solidFill>
              <w14:schemeClr w14:val="tx1"/>
            </w14:solidFill>
          </w14:textFill>
        </w:rPr>
        <w:footnoteRef/>
      </w:r>
      <w:r>
        <w:rPr>
          <w:rFonts w:ascii="仿宋" w:hAnsi="仿宋" w:eastAsia="仿宋"/>
          <w:color w:val="000000" w:themeColor="text1"/>
          <w14:textFill>
            <w14:solidFill>
              <w14:schemeClr w14:val="tx1"/>
            </w14:solidFill>
          </w14:textFill>
        </w:rPr>
        <w:t xml:space="preserve"> </w:t>
      </w:r>
      <w:r>
        <w:rPr>
          <w:rFonts w:hint="eastAsia" w:ascii="仿宋" w:hAnsi="仿宋" w:eastAsia="仿宋"/>
          <w:color w:val="000000" w:themeColor="text1"/>
          <w14:textFill>
            <w14:solidFill>
              <w14:schemeClr w14:val="tx1"/>
            </w14:solidFill>
          </w14:textFill>
        </w:rPr>
        <w:t>《新唐书》</w:t>
      </w:r>
      <w:r>
        <w:rPr>
          <w:rFonts w:ascii="仿宋" w:hAnsi="仿宋" w:eastAsia="仿宋"/>
          <w:color w:val="000000" w:themeColor="text1"/>
          <w14:textFill>
            <w14:solidFill>
              <w14:schemeClr w14:val="tx1"/>
            </w14:solidFill>
          </w14:textFill>
        </w:rPr>
        <w:t>卷</w:t>
      </w:r>
      <w:r>
        <w:rPr>
          <w:rFonts w:hint="eastAsia" w:ascii="仿宋" w:hAnsi="仿宋" w:eastAsia="仿宋"/>
          <w:color w:val="000000" w:themeColor="text1"/>
          <w14:textFill>
            <w14:solidFill>
              <w14:schemeClr w14:val="tx1"/>
            </w14:solidFill>
          </w14:textFill>
        </w:rPr>
        <w:t>八三，第3646页。</w:t>
      </w:r>
    </w:p>
  </w:footnote>
  <w:footnote w:id="38">
    <w:p>
      <w:pPr>
        <w:pStyle w:val="5"/>
        <w:spacing w:line="276" w:lineRule="auto"/>
        <w:ind w:left="420" w:leftChars="200"/>
        <w:jc w:val="both"/>
        <w:rPr>
          <w:rFonts w:ascii="仿宋" w:hAnsi="仿宋" w:eastAsia="仿宋"/>
          <w:color w:val="000000" w:themeColor="text1"/>
          <w14:textFill>
            <w14:solidFill>
              <w14:schemeClr w14:val="tx1"/>
            </w14:solidFill>
          </w14:textFill>
        </w:rPr>
      </w:pPr>
      <w:r>
        <w:rPr>
          <w:rFonts w:ascii="仿宋" w:hAnsi="仿宋" w:eastAsia="仿宋"/>
          <w:color w:val="000000" w:themeColor="text1"/>
          <w14:textFill>
            <w14:solidFill>
              <w14:schemeClr w14:val="tx1"/>
            </w14:solidFill>
          </w14:textFill>
        </w:rPr>
        <w:footnoteRef/>
      </w:r>
      <w:r>
        <w:rPr>
          <w:rFonts w:ascii="仿宋" w:hAnsi="仿宋" w:eastAsia="仿宋"/>
          <w:color w:val="000000" w:themeColor="text1"/>
          <w14:textFill>
            <w14:solidFill>
              <w14:schemeClr w14:val="tx1"/>
            </w14:solidFill>
          </w14:textFill>
        </w:rPr>
        <w:t xml:space="preserve"> </w:t>
      </w:r>
      <w:r>
        <w:rPr>
          <w:rFonts w:hint="eastAsia" w:ascii="仿宋" w:hAnsi="仿宋" w:eastAsia="仿宋"/>
          <w:color w:val="000000" w:themeColor="text1"/>
          <w14:textFill>
            <w14:solidFill>
              <w14:schemeClr w14:val="tx1"/>
            </w14:solidFill>
          </w14:textFill>
        </w:rPr>
        <w:t>参见</w:t>
      </w:r>
      <w:r>
        <w:rPr>
          <w:rFonts w:ascii="仿宋" w:hAnsi="仿宋" w:eastAsia="仿宋"/>
          <w:color w:val="000000" w:themeColor="text1"/>
          <w14:textFill>
            <w14:solidFill>
              <w14:schemeClr w14:val="tx1"/>
            </w14:solidFill>
          </w14:textFill>
        </w:rPr>
        <w:t>赵守俨</w:t>
      </w:r>
      <w:r>
        <w:rPr>
          <w:rFonts w:hint="eastAsia" w:ascii="仿宋" w:hAnsi="仿宋" w:eastAsia="仿宋"/>
          <w:color w:val="000000" w:themeColor="text1"/>
          <w14:textFill>
            <w14:solidFill>
              <w14:schemeClr w14:val="tx1"/>
            </w14:solidFill>
          </w14:textFill>
        </w:rPr>
        <w:t>：《〈</w:t>
      </w:r>
      <w:r>
        <w:rPr>
          <w:rFonts w:ascii="仿宋" w:hAnsi="仿宋" w:eastAsia="仿宋"/>
          <w:color w:val="000000" w:themeColor="text1"/>
          <w14:textFill>
            <w14:solidFill>
              <w14:schemeClr w14:val="tx1"/>
            </w14:solidFill>
          </w14:textFill>
        </w:rPr>
        <w:t>唐临川公主墓志</w:t>
      </w:r>
      <w:r>
        <w:rPr>
          <w:rFonts w:hint="eastAsia" w:ascii="仿宋" w:hAnsi="仿宋" w:eastAsia="仿宋"/>
          <w:color w:val="000000" w:themeColor="text1"/>
          <w14:textFill>
            <w14:solidFill>
              <w14:schemeClr w14:val="tx1"/>
            </w14:solidFill>
          </w14:textFill>
        </w:rPr>
        <w:t>〉</w:t>
      </w:r>
      <w:r>
        <w:rPr>
          <w:rFonts w:ascii="仿宋" w:hAnsi="仿宋" w:eastAsia="仿宋"/>
          <w:color w:val="000000" w:themeColor="text1"/>
          <w14:textFill>
            <w14:solidFill>
              <w14:schemeClr w14:val="tx1"/>
            </w14:solidFill>
          </w14:textFill>
        </w:rPr>
        <w:t>记事考索</w:t>
      </w:r>
      <w:r>
        <w:rPr>
          <w:rFonts w:hint="eastAsia" w:ascii="仿宋" w:hAnsi="仿宋" w:eastAsia="仿宋"/>
          <w:color w:val="000000" w:themeColor="text1"/>
          <w14:textFill>
            <w14:solidFill>
              <w14:schemeClr w14:val="tx1"/>
            </w14:solidFill>
          </w14:textFill>
        </w:rPr>
        <w:t>》，</w:t>
      </w:r>
      <w:r>
        <w:rPr>
          <w:rFonts w:ascii="仿宋" w:hAnsi="仿宋" w:eastAsia="仿宋"/>
          <w:color w:val="000000" w:themeColor="text1"/>
          <w14:textFill>
            <w14:solidFill>
              <w14:schemeClr w14:val="tx1"/>
            </w14:solidFill>
          </w14:textFill>
        </w:rPr>
        <w:t>《文史》第</w:t>
      </w:r>
      <w:r>
        <w:rPr>
          <w:rFonts w:hint="eastAsia" w:ascii="仿宋" w:hAnsi="仿宋" w:eastAsia="仿宋"/>
          <w:color w:val="000000" w:themeColor="text1"/>
          <w14:textFill>
            <w14:solidFill>
              <w14:schemeClr w14:val="tx1"/>
            </w14:solidFill>
          </w14:textFill>
        </w:rPr>
        <w:t>9</w:t>
      </w:r>
      <w:r>
        <w:rPr>
          <w:rFonts w:ascii="仿宋" w:hAnsi="仿宋" w:eastAsia="仿宋"/>
          <w:color w:val="000000" w:themeColor="text1"/>
          <w14:textFill>
            <w14:solidFill>
              <w14:schemeClr w14:val="tx1"/>
            </w14:solidFill>
          </w14:textFill>
        </w:rPr>
        <w:t>辑，中华书局1980</w:t>
      </w:r>
      <w:r>
        <w:rPr>
          <w:rFonts w:hint="eastAsia" w:ascii="仿宋" w:hAnsi="仿宋" w:eastAsia="仿宋"/>
          <w:color w:val="000000" w:themeColor="text1"/>
          <w14:textFill>
            <w14:solidFill>
              <w14:schemeClr w14:val="tx1"/>
            </w14:solidFill>
          </w14:textFill>
        </w:rPr>
        <w:t>年版</w:t>
      </w:r>
      <w:r>
        <w:rPr>
          <w:rFonts w:ascii="仿宋" w:hAnsi="仿宋" w:eastAsia="仿宋"/>
          <w:color w:val="000000" w:themeColor="text1"/>
          <w14:textFill>
            <w14:solidFill>
              <w14:schemeClr w14:val="tx1"/>
            </w14:solidFill>
          </w14:textFill>
        </w:rPr>
        <w:t>，第75-82页</w:t>
      </w:r>
      <w:r>
        <w:rPr>
          <w:rFonts w:hint="eastAsia" w:ascii="仿宋" w:hAnsi="仿宋" w:eastAsia="仿宋"/>
          <w:color w:val="000000" w:themeColor="text1"/>
          <w14:textFill>
            <w14:solidFill>
              <w14:schemeClr w14:val="tx1"/>
            </w14:solidFill>
          </w14:textFill>
        </w:rPr>
        <w:t>；郭海文：《〈</w:t>
      </w:r>
      <w:r>
        <w:rPr>
          <w:rFonts w:ascii="仿宋" w:hAnsi="仿宋" w:eastAsia="仿宋"/>
          <w:color w:val="000000" w:themeColor="text1"/>
          <w14:textFill>
            <w14:solidFill>
              <w14:schemeClr w14:val="tx1"/>
            </w14:solidFill>
          </w14:textFill>
        </w:rPr>
        <w:t>大唐故临川郡长公主墓志铭并序</w:t>
      </w:r>
      <w:r>
        <w:rPr>
          <w:rFonts w:hint="eastAsia" w:ascii="仿宋" w:hAnsi="仿宋" w:eastAsia="仿宋"/>
          <w:color w:val="000000" w:themeColor="text1"/>
          <w14:textFill>
            <w14:solidFill>
              <w14:schemeClr w14:val="tx1"/>
            </w14:solidFill>
          </w14:textFill>
        </w:rPr>
        <w:t>〉再考》，《</w:t>
      </w:r>
      <w:r>
        <w:rPr>
          <w:rFonts w:ascii="仿宋" w:hAnsi="仿宋" w:eastAsia="仿宋"/>
          <w:color w:val="000000" w:themeColor="text1"/>
          <w14:textFill>
            <w14:solidFill>
              <w14:schemeClr w14:val="tx1"/>
            </w14:solidFill>
          </w14:textFill>
        </w:rPr>
        <w:t>唐代文学研究</w:t>
      </w:r>
      <w:r>
        <w:rPr>
          <w:rFonts w:hint="eastAsia" w:ascii="仿宋" w:hAnsi="仿宋" w:eastAsia="仿宋"/>
          <w:color w:val="000000" w:themeColor="text1"/>
          <w14:textFill>
            <w14:solidFill>
              <w14:schemeClr w14:val="tx1"/>
            </w14:solidFill>
          </w14:textFill>
        </w:rPr>
        <w:t>》第1</w:t>
      </w:r>
      <w:r>
        <w:rPr>
          <w:rFonts w:ascii="仿宋" w:hAnsi="仿宋" w:eastAsia="仿宋"/>
          <w:color w:val="000000" w:themeColor="text1"/>
          <w14:textFill>
            <w14:solidFill>
              <w14:schemeClr w14:val="tx1"/>
            </w14:solidFill>
          </w14:textFill>
        </w:rPr>
        <w:t>9</w:t>
      </w:r>
      <w:r>
        <w:rPr>
          <w:rFonts w:hint="eastAsia" w:ascii="仿宋" w:hAnsi="仿宋" w:eastAsia="仿宋"/>
          <w:color w:val="000000" w:themeColor="text1"/>
          <w14:textFill>
            <w14:solidFill>
              <w14:schemeClr w14:val="tx1"/>
            </w14:solidFill>
          </w14:textFill>
        </w:rPr>
        <w:t>辑，</w:t>
      </w:r>
      <w:r>
        <w:rPr>
          <w:rFonts w:ascii="仿宋" w:hAnsi="仿宋" w:eastAsia="仿宋"/>
          <w:color w:val="000000" w:themeColor="text1"/>
          <w14:textFill>
            <w14:solidFill>
              <w14:schemeClr w14:val="tx1"/>
            </w14:solidFill>
          </w14:textFill>
        </w:rPr>
        <w:t>社会科学文献出版社2020</w:t>
      </w:r>
      <w:r>
        <w:rPr>
          <w:rFonts w:hint="eastAsia" w:ascii="仿宋" w:hAnsi="仿宋" w:eastAsia="仿宋"/>
          <w:color w:val="000000" w:themeColor="text1"/>
          <w14:textFill>
            <w14:solidFill>
              <w14:schemeClr w14:val="tx1"/>
            </w14:solidFill>
          </w14:textFill>
        </w:rPr>
        <w:t>年版，第1</w:t>
      </w:r>
      <w:r>
        <w:rPr>
          <w:rFonts w:ascii="仿宋" w:hAnsi="仿宋" w:eastAsia="仿宋"/>
          <w:color w:val="000000" w:themeColor="text1"/>
          <w14:textFill>
            <w14:solidFill>
              <w14:schemeClr w14:val="tx1"/>
            </w14:solidFill>
          </w14:textFill>
        </w:rPr>
        <w:t>59-180</w:t>
      </w:r>
      <w:r>
        <w:rPr>
          <w:rFonts w:hint="eastAsia" w:ascii="仿宋" w:hAnsi="仿宋" w:eastAsia="仿宋"/>
          <w:color w:val="000000" w:themeColor="text1"/>
          <w14:textFill>
            <w14:solidFill>
              <w14:schemeClr w14:val="tx1"/>
            </w14:solidFill>
          </w14:textFill>
        </w:rPr>
        <w:t>页。</w:t>
      </w:r>
    </w:p>
  </w:footnote>
  <w:footnote w:id="39">
    <w:p>
      <w:pPr>
        <w:pStyle w:val="5"/>
        <w:spacing w:line="276" w:lineRule="auto"/>
        <w:ind w:left="420" w:leftChars="200"/>
        <w:jc w:val="both"/>
        <w:rPr>
          <w:rFonts w:ascii="仿宋" w:hAnsi="仿宋" w:eastAsia="仿宋"/>
          <w:color w:val="000000" w:themeColor="text1"/>
          <w14:textFill>
            <w14:solidFill>
              <w14:schemeClr w14:val="tx1"/>
            </w14:solidFill>
          </w14:textFill>
        </w:rPr>
      </w:pPr>
      <w:r>
        <w:rPr>
          <w:rFonts w:ascii="仿宋" w:hAnsi="仿宋" w:eastAsia="仿宋"/>
          <w:color w:val="000000" w:themeColor="text1"/>
          <w14:textFill>
            <w14:solidFill>
              <w14:schemeClr w14:val="tx1"/>
            </w14:solidFill>
          </w14:textFill>
        </w:rPr>
        <w:footnoteRef/>
      </w:r>
      <w:r>
        <w:rPr>
          <w:rFonts w:ascii="仿宋" w:hAnsi="仿宋" w:eastAsia="仿宋"/>
          <w:color w:val="000000" w:themeColor="text1"/>
          <w14:textFill>
            <w14:solidFill>
              <w14:schemeClr w14:val="tx1"/>
            </w14:solidFill>
          </w14:textFill>
        </w:rPr>
        <w:t xml:space="preserve"> </w:t>
      </w:r>
      <w:r>
        <w:rPr>
          <w:rFonts w:hint="eastAsia" w:ascii="仿宋" w:hAnsi="仿宋" w:eastAsia="仿宋"/>
          <w:color w:val="000000" w:themeColor="text1"/>
          <w14:textFill>
            <w14:solidFill>
              <w14:schemeClr w14:val="tx1"/>
            </w14:solidFill>
          </w14:textFill>
        </w:rPr>
        <w:t>《〈</w:t>
      </w:r>
      <w:r>
        <w:rPr>
          <w:rFonts w:ascii="仿宋" w:hAnsi="仿宋" w:eastAsia="仿宋"/>
          <w:color w:val="000000" w:themeColor="text1"/>
          <w14:textFill>
            <w14:solidFill>
              <w14:schemeClr w14:val="tx1"/>
            </w14:solidFill>
          </w14:textFill>
        </w:rPr>
        <w:t>唐临川公主墓志</w:t>
      </w:r>
      <w:r>
        <w:rPr>
          <w:rFonts w:hint="eastAsia" w:ascii="仿宋" w:hAnsi="仿宋" w:eastAsia="仿宋"/>
          <w:color w:val="000000" w:themeColor="text1"/>
          <w14:textFill>
            <w14:solidFill>
              <w14:schemeClr w14:val="tx1"/>
            </w14:solidFill>
          </w14:textFill>
        </w:rPr>
        <w:t>〉</w:t>
      </w:r>
      <w:r>
        <w:rPr>
          <w:rFonts w:ascii="仿宋" w:hAnsi="仿宋" w:eastAsia="仿宋"/>
          <w:color w:val="000000" w:themeColor="text1"/>
          <w14:textFill>
            <w14:solidFill>
              <w14:schemeClr w14:val="tx1"/>
            </w14:solidFill>
          </w14:textFill>
        </w:rPr>
        <w:t>记事考索</w:t>
      </w:r>
      <w:r>
        <w:rPr>
          <w:rFonts w:hint="eastAsia" w:ascii="仿宋" w:hAnsi="仿宋" w:eastAsia="仿宋"/>
          <w:color w:val="000000" w:themeColor="text1"/>
          <w14:textFill>
            <w14:solidFill>
              <w14:schemeClr w14:val="tx1"/>
            </w14:solidFill>
          </w14:textFill>
        </w:rPr>
        <w:t>》</w:t>
      </w:r>
      <w:r>
        <w:rPr>
          <w:rFonts w:ascii="仿宋" w:hAnsi="仿宋" w:eastAsia="仿宋"/>
          <w:color w:val="000000" w:themeColor="text1"/>
          <w14:textFill>
            <w14:solidFill>
              <w14:schemeClr w14:val="tx1"/>
            </w14:solidFill>
          </w14:textFill>
        </w:rPr>
        <w:t>，第80-81页</w:t>
      </w:r>
      <w:r>
        <w:rPr>
          <w:rFonts w:hint="eastAsia" w:ascii="仿宋" w:hAnsi="仿宋" w:eastAsia="仿宋"/>
          <w:color w:val="000000" w:themeColor="text1"/>
          <w14:textFill>
            <w14:solidFill>
              <w14:schemeClr w14:val="tx1"/>
            </w14:solidFill>
          </w14:textFill>
        </w:rPr>
        <w:t>。</w:t>
      </w:r>
    </w:p>
  </w:footnote>
  <w:footnote w:id="40">
    <w:p>
      <w:pPr>
        <w:pStyle w:val="5"/>
        <w:spacing w:line="276" w:lineRule="auto"/>
        <w:ind w:left="420" w:leftChars="200"/>
      </w:pPr>
      <w:r>
        <w:rPr>
          <w:rFonts w:ascii="仿宋" w:hAnsi="仿宋" w:eastAsia="仿宋"/>
          <w:color w:val="000000" w:themeColor="text1"/>
          <w14:textFill>
            <w14:solidFill>
              <w14:schemeClr w14:val="tx1"/>
            </w14:solidFill>
          </w14:textFill>
        </w:rPr>
        <w:footnoteRef/>
      </w:r>
      <w:r>
        <w:rPr>
          <w:rFonts w:hint="eastAsia" w:ascii="仿宋" w:hAnsi="仿宋" w:eastAsia="仿宋"/>
          <w:color w:val="000000" w:themeColor="text1"/>
          <w14:textFill>
            <w14:solidFill>
              <w14:schemeClr w14:val="tx1"/>
            </w14:solidFill>
          </w14:textFill>
        </w:rPr>
        <w:t xml:space="preserve"> 墓志录文参见</w:t>
      </w:r>
      <w:r>
        <w:rPr>
          <w:rFonts w:ascii="仿宋" w:hAnsi="仿宋" w:eastAsia="仿宋"/>
          <w:color w:val="000000" w:themeColor="text1"/>
          <w14:textFill>
            <w14:solidFill>
              <w14:schemeClr w14:val="tx1"/>
            </w14:solidFill>
          </w14:textFill>
        </w:rPr>
        <w:t>岳连建</w:t>
      </w:r>
      <w:r>
        <w:rPr>
          <w:rFonts w:hint="eastAsia" w:ascii="仿宋" w:hAnsi="仿宋" w:eastAsia="仿宋"/>
          <w:color w:val="000000" w:themeColor="text1"/>
          <w14:textFill>
            <w14:solidFill>
              <w14:schemeClr w14:val="tx1"/>
            </w14:solidFill>
          </w14:textFill>
        </w:rPr>
        <w:t>、</w:t>
      </w:r>
      <w:r>
        <w:rPr>
          <w:rFonts w:ascii="仿宋" w:hAnsi="仿宋" w:eastAsia="仿宋"/>
          <w:color w:val="000000" w:themeColor="text1"/>
          <w14:textFill>
            <w14:solidFill>
              <w14:schemeClr w14:val="tx1"/>
            </w14:solidFill>
          </w14:textFill>
        </w:rPr>
        <w:t>柯卓英</w:t>
      </w:r>
      <w:r>
        <w:rPr>
          <w:rFonts w:hint="eastAsia" w:ascii="仿宋" w:hAnsi="仿宋" w:eastAsia="仿宋"/>
          <w:color w:val="000000" w:themeColor="text1"/>
          <w14:textFill>
            <w14:solidFill>
              <w14:schemeClr w14:val="tx1"/>
            </w14:solidFill>
          </w14:textFill>
        </w:rPr>
        <w:t>：《</w:t>
      </w:r>
      <w:r>
        <w:rPr>
          <w:rFonts w:ascii="仿宋" w:hAnsi="仿宋" w:eastAsia="仿宋"/>
          <w:color w:val="000000" w:themeColor="text1"/>
          <w14:textFill>
            <w14:solidFill>
              <w14:schemeClr w14:val="tx1"/>
            </w14:solidFill>
          </w14:textFill>
        </w:rPr>
        <w:t>唐淮南大长公主墓志所反映的唐代历史问题</w:t>
      </w:r>
      <w:r>
        <w:rPr>
          <w:rFonts w:hint="eastAsia" w:ascii="仿宋" w:hAnsi="仿宋" w:eastAsia="仿宋"/>
          <w:color w:val="000000" w:themeColor="text1"/>
          <w14:textFill>
            <w14:solidFill>
              <w14:schemeClr w14:val="tx1"/>
            </w14:solidFill>
          </w14:textFill>
        </w:rPr>
        <w:t>》，《华夏考古》2</w:t>
      </w:r>
      <w:r>
        <w:rPr>
          <w:rFonts w:ascii="仿宋" w:hAnsi="仿宋" w:eastAsia="仿宋"/>
          <w:color w:val="000000" w:themeColor="text1"/>
          <w14:textFill>
            <w14:solidFill>
              <w14:schemeClr w14:val="tx1"/>
            </w14:solidFill>
          </w14:textFill>
        </w:rPr>
        <w:t>008</w:t>
      </w:r>
      <w:r>
        <w:rPr>
          <w:rFonts w:hint="eastAsia" w:ascii="仿宋" w:hAnsi="仿宋" w:eastAsia="仿宋"/>
          <w:color w:val="000000" w:themeColor="text1"/>
          <w14:textFill>
            <w14:solidFill>
              <w14:schemeClr w14:val="tx1"/>
            </w14:solidFill>
          </w14:textFill>
        </w:rPr>
        <w:t>年第2期，第1</w:t>
      </w:r>
      <w:r>
        <w:rPr>
          <w:rFonts w:ascii="仿宋" w:hAnsi="仿宋" w:eastAsia="仿宋"/>
          <w:color w:val="000000" w:themeColor="text1"/>
          <w14:textFill>
            <w14:solidFill>
              <w14:schemeClr w14:val="tx1"/>
            </w14:solidFill>
          </w14:textFill>
        </w:rPr>
        <w:t>36</w:t>
      </w:r>
      <w:r>
        <w:rPr>
          <w:rFonts w:hint="eastAsia" w:ascii="仿宋" w:hAnsi="仿宋" w:eastAsia="仿宋"/>
          <w:color w:val="000000" w:themeColor="text1"/>
          <w14:textFill>
            <w14:solidFill>
              <w14:schemeClr w14:val="tx1"/>
            </w14:solidFill>
          </w14:textFill>
        </w:rPr>
        <w:t>页。</w:t>
      </w:r>
    </w:p>
  </w:footnote>
  <w:footnote w:id="41">
    <w:p>
      <w:pPr>
        <w:pStyle w:val="5"/>
        <w:spacing w:line="276" w:lineRule="auto"/>
        <w:ind w:left="420" w:leftChars="200"/>
        <w:jc w:val="both"/>
        <w:rPr>
          <w:rFonts w:ascii="仿宋" w:hAnsi="仿宋" w:eastAsia="仿宋"/>
          <w:color w:val="000000" w:themeColor="text1"/>
          <w14:textFill>
            <w14:solidFill>
              <w14:schemeClr w14:val="tx1"/>
            </w14:solidFill>
          </w14:textFill>
        </w:rPr>
      </w:pPr>
      <w:r>
        <w:rPr>
          <w:rFonts w:ascii="仿宋" w:hAnsi="仿宋" w:eastAsia="仿宋"/>
          <w:color w:val="000000" w:themeColor="text1"/>
          <w14:textFill>
            <w14:solidFill>
              <w14:schemeClr w14:val="tx1"/>
            </w14:solidFill>
          </w14:textFill>
        </w:rPr>
        <w:footnoteRef/>
      </w:r>
      <w:r>
        <w:rPr>
          <w:rFonts w:ascii="仿宋" w:hAnsi="仿宋" w:eastAsia="仿宋"/>
          <w:color w:val="000000" w:themeColor="text1"/>
          <w14:textFill>
            <w14:solidFill>
              <w14:schemeClr w14:val="tx1"/>
            </w14:solidFill>
          </w14:textFill>
        </w:rPr>
        <w:t xml:space="preserve"> </w:t>
      </w:r>
      <w:r>
        <w:rPr>
          <w:rFonts w:hint="eastAsia" w:ascii="仿宋" w:hAnsi="仿宋" w:eastAsia="仿宋"/>
          <w:color w:val="000000" w:themeColor="text1"/>
          <w14:textFill>
            <w14:solidFill>
              <w14:schemeClr w14:val="tx1"/>
            </w14:solidFill>
          </w14:textFill>
        </w:rPr>
        <w:t>葛晓音：《论初唐的女性专权及其对文学的影响》，</w:t>
      </w:r>
      <w:r>
        <w:rPr>
          <w:rFonts w:ascii="仿宋" w:hAnsi="仿宋" w:eastAsia="仿宋"/>
          <w:color w:val="000000" w:themeColor="text1"/>
          <w14:textFill>
            <w14:solidFill>
              <w14:schemeClr w14:val="tx1"/>
            </w14:solidFill>
          </w14:textFill>
        </w:rPr>
        <w:t>《中国文化研究》1995年秋之卷，</w:t>
      </w:r>
      <w:r>
        <w:rPr>
          <w:rFonts w:hint="eastAsia" w:ascii="仿宋" w:hAnsi="仿宋" w:eastAsia="仿宋"/>
          <w:color w:val="000000" w:themeColor="text1"/>
          <w14:textFill>
            <w14:solidFill>
              <w14:schemeClr w14:val="tx1"/>
            </w14:solidFill>
          </w14:textFill>
        </w:rPr>
        <w:t>第6</w:t>
      </w:r>
      <w:r>
        <w:rPr>
          <w:rFonts w:ascii="仿宋" w:hAnsi="仿宋" w:eastAsia="仿宋"/>
          <w:color w:val="000000" w:themeColor="text1"/>
          <w14:textFill>
            <w14:solidFill>
              <w14:schemeClr w14:val="tx1"/>
            </w14:solidFill>
          </w14:textFill>
        </w:rPr>
        <w:t>1</w:t>
      </w:r>
      <w:r>
        <w:rPr>
          <w:rFonts w:hint="eastAsia" w:ascii="仿宋" w:hAnsi="仿宋" w:eastAsia="仿宋"/>
          <w:color w:val="000000" w:themeColor="text1"/>
          <w14:textFill>
            <w14:solidFill>
              <w14:schemeClr w14:val="tx1"/>
            </w14:solidFill>
          </w14:textFill>
        </w:rPr>
        <w:t>页。</w:t>
      </w:r>
    </w:p>
  </w:footnote>
  <w:footnote w:id="42">
    <w:p>
      <w:pPr>
        <w:pStyle w:val="5"/>
        <w:spacing w:line="276" w:lineRule="auto"/>
        <w:ind w:left="420" w:leftChars="200"/>
        <w:rPr>
          <w:rFonts w:ascii="仿宋" w:hAnsi="仿宋" w:eastAsia="仿宋"/>
          <w:color w:val="000000" w:themeColor="text1"/>
          <w14:textFill>
            <w14:solidFill>
              <w14:schemeClr w14:val="tx1"/>
            </w14:solidFill>
          </w14:textFill>
        </w:rPr>
      </w:pPr>
      <w:r>
        <w:rPr>
          <w:rFonts w:ascii="仿宋" w:hAnsi="仿宋" w:eastAsia="仿宋"/>
          <w:color w:val="000000" w:themeColor="text1"/>
          <w14:textFill>
            <w14:solidFill>
              <w14:schemeClr w14:val="tx1"/>
            </w14:solidFill>
          </w14:textFill>
        </w:rPr>
        <w:footnoteRef/>
      </w:r>
      <w:r>
        <w:rPr>
          <w:rFonts w:hint="eastAsia" w:ascii="仿宋" w:hAnsi="仿宋" w:eastAsia="仿宋"/>
          <w:color w:val="000000" w:themeColor="text1"/>
          <w14:textFill>
            <w14:solidFill>
              <w14:schemeClr w14:val="tx1"/>
            </w14:solidFill>
          </w14:textFill>
        </w:rPr>
        <w:t xml:space="preserve"> 《全唐文补编》卷一三，第1</w:t>
      </w:r>
      <w:r>
        <w:rPr>
          <w:rFonts w:ascii="仿宋" w:hAnsi="仿宋" w:eastAsia="仿宋"/>
          <w:color w:val="000000" w:themeColor="text1"/>
          <w14:textFill>
            <w14:solidFill>
              <w14:schemeClr w14:val="tx1"/>
            </w14:solidFill>
          </w14:textFill>
        </w:rPr>
        <w:t>57</w:t>
      </w:r>
      <w:r>
        <w:rPr>
          <w:rFonts w:hint="eastAsia" w:ascii="仿宋" w:hAnsi="仿宋" w:eastAsia="仿宋"/>
          <w:color w:val="000000" w:themeColor="text1"/>
          <w14:textFill>
            <w14:solidFill>
              <w14:schemeClr w14:val="tx1"/>
            </w14:solidFill>
          </w14:textFill>
        </w:rPr>
        <w:t>页。</w:t>
      </w:r>
    </w:p>
  </w:footnote>
  <w:footnote w:id="43">
    <w:p>
      <w:pPr>
        <w:pStyle w:val="5"/>
        <w:spacing w:line="276" w:lineRule="auto"/>
        <w:ind w:left="420" w:leftChars="200"/>
        <w:rPr>
          <w:rFonts w:ascii="仿宋" w:hAnsi="仿宋" w:eastAsia="仿宋"/>
          <w:color w:val="000000" w:themeColor="text1"/>
          <w14:textFill>
            <w14:solidFill>
              <w14:schemeClr w14:val="tx1"/>
            </w14:solidFill>
          </w14:textFill>
        </w:rPr>
      </w:pPr>
      <w:r>
        <w:rPr>
          <w:rFonts w:ascii="仿宋" w:hAnsi="仿宋" w:eastAsia="仿宋"/>
          <w:color w:val="000000" w:themeColor="text1"/>
          <w14:textFill>
            <w14:solidFill>
              <w14:schemeClr w14:val="tx1"/>
            </w14:solidFill>
          </w14:textFill>
        </w:rPr>
        <w:footnoteRef/>
      </w:r>
      <w:r>
        <w:rPr>
          <w:rFonts w:ascii="仿宋" w:hAnsi="仿宋" w:eastAsia="仿宋"/>
          <w:color w:val="000000" w:themeColor="text1"/>
          <w14:textFill>
            <w14:solidFill>
              <w14:schemeClr w14:val="tx1"/>
            </w14:solidFill>
          </w14:textFill>
        </w:rPr>
        <w:t xml:space="preserve"> </w:t>
      </w:r>
      <w:r>
        <w:rPr>
          <w:rFonts w:hint="eastAsia" w:ascii="仿宋" w:hAnsi="仿宋" w:eastAsia="仿宋"/>
          <w:color w:val="000000" w:themeColor="text1"/>
          <w14:textFill>
            <w14:solidFill>
              <w14:schemeClr w14:val="tx1"/>
            </w14:solidFill>
          </w14:textFill>
        </w:rPr>
        <w:t>《全唐文补编》卷一三，第1</w:t>
      </w:r>
      <w:r>
        <w:rPr>
          <w:rFonts w:ascii="仿宋" w:hAnsi="仿宋" w:eastAsia="仿宋"/>
          <w:color w:val="000000" w:themeColor="text1"/>
          <w14:textFill>
            <w14:solidFill>
              <w14:schemeClr w14:val="tx1"/>
            </w14:solidFill>
          </w14:textFill>
        </w:rPr>
        <w:t>57</w:t>
      </w:r>
      <w:r>
        <w:rPr>
          <w:rFonts w:hint="eastAsia" w:ascii="仿宋" w:hAnsi="仿宋" w:eastAsia="仿宋"/>
          <w:color w:val="000000" w:themeColor="text1"/>
          <w14:textFill>
            <w14:solidFill>
              <w14:schemeClr w14:val="tx1"/>
            </w14:solidFill>
          </w14:textFill>
        </w:rPr>
        <w:t>页。</w:t>
      </w:r>
    </w:p>
  </w:footnote>
  <w:footnote w:id="44">
    <w:p>
      <w:pPr>
        <w:pStyle w:val="5"/>
        <w:spacing w:line="276" w:lineRule="auto"/>
        <w:ind w:left="420" w:leftChars="200"/>
        <w:rPr>
          <w:rFonts w:ascii="仿宋" w:hAnsi="仿宋" w:eastAsia="仿宋"/>
          <w:color w:val="000000" w:themeColor="text1"/>
          <w14:textFill>
            <w14:solidFill>
              <w14:schemeClr w14:val="tx1"/>
            </w14:solidFill>
          </w14:textFill>
        </w:rPr>
      </w:pPr>
      <w:r>
        <w:rPr>
          <w:rFonts w:ascii="仿宋" w:hAnsi="仿宋" w:eastAsia="仿宋"/>
          <w:color w:val="000000" w:themeColor="text1"/>
          <w14:textFill>
            <w14:solidFill>
              <w14:schemeClr w14:val="tx1"/>
            </w14:solidFill>
          </w14:textFill>
        </w:rPr>
        <w:footnoteRef/>
      </w:r>
      <w:r>
        <w:rPr>
          <w:rFonts w:ascii="仿宋" w:hAnsi="仿宋" w:eastAsia="仿宋"/>
          <w:color w:val="000000" w:themeColor="text1"/>
          <w14:textFill>
            <w14:solidFill>
              <w14:schemeClr w14:val="tx1"/>
            </w14:solidFill>
          </w14:textFill>
        </w:rPr>
        <w:t xml:space="preserve"> </w:t>
      </w:r>
      <w:r>
        <w:rPr>
          <w:rFonts w:hint="eastAsia" w:ascii="仿宋" w:hAnsi="仿宋" w:eastAsia="仿宋"/>
          <w:color w:val="000000" w:themeColor="text1"/>
          <w14:textFill>
            <w14:solidFill>
              <w14:schemeClr w14:val="tx1"/>
            </w14:solidFill>
          </w14:textFill>
        </w:rPr>
        <w:t>关于杨氏去世的年份，文献记载存在差异，《旧唐书·武承嗣传》载：“咸亨二年，荣国夫人卒。”（《旧唐书》卷一八三，第4</w:t>
      </w:r>
      <w:r>
        <w:rPr>
          <w:rFonts w:ascii="仿宋" w:hAnsi="仿宋" w:eastAsia="仿宋"/>
          <w:color w:val="000000" w:themeColor="text1"/>
          <w14:textFill>
            <w14:solidFill>
              <w14:schemeClr w14:val="tx1"/>
            </w14:solidFill>
          </w14:textFill>
        </w:rPr>
        <w:t>728</w:t>
      </w:r>
      <w:r>
        <w:rPr>
          <w:rFonts w:hint="eastAsia" w:ascii="仿宋" w:hAnsi="仿宋" w:eastAsia="仿宋"/>
          <w:color w:val="000000" w:themeColor="text1"/>
          <w14:textFill>
            <w14:solidFill>
              <w14:schemeClr w14:val="tx1"/>
            </w14:solidFill>
          </w14:textFill>
        </w:rPr>
        <w:t>页）然《旧唐书·高宗本纪》载：咸亨元年“九月甲申，卫国夫人杨氏薨，赠鲁国夫人，谥曰忠烈。”（《旧唐书》卷五，第9</w:t>
      </w:r>
      <w:r>
        <w:rPr>
          <w:rFonts w:ascii="仿宋" w:hAnsi="仿宋" w:eastAsia="仿宋"/>
          <w:color w:val="000000" w:themeColor="text1"/>
          <w14:textFill>
            <w14:solidFill>
              <w14:schemeClr w14:val="tx1"/>
            </w14:solidFill>
          </w14:textFill>
        </w:rPr>
        <w:t>5</w:t>
      </w:r>
      <w:r>
        <w:rPr>
          <w:rFonts w:hint="eastAsia" w:ascii="仿宋" w:hAnsi="仿宋" w:eastAsia="仿宋"/>
          <w:color w:val="000000" w:themeColor="text1"/>
          <w14:textFill>
            <w14:solidFill>
              <w14:schemeClr w14:val="tx1"/>
            </w14:solidFill>
          </w14:textFill>
        </w:rPr>
        <w:t>页）又《资治通鉴》在“咸亨元年”条下亦有：“</w:t>
      </w:r>
      <w:r>
        <w:rPr>
          <w:rFonts w:ascii="仿宋" w:hAnsi="仿宋" w:eastAsia="仿宋"/>
          <w:color w:val="000000" w:themeColor="text1"/>
          <w14:textFill>
            <w14:solidFill>
              <w14:schemeClr w14:val="tx1"/>
            </w14:solidFill>
          </w14:textFill>
        </w:rPr>
        <w:t>甲申，皇后母鲁国忠烈夫人杨氏卒</w:t>
      </w:r>
      <w:r>
        <w:rPr>
          <w:rFonts w:hint="eastAsia" w:ascii="仿宋" w:hAnsi="仿宋" w:eastAsia="仿宋"/>
          <w:color w:val="000000" w:themeColor="text1"/>
          <w14:textFill>
            <w14:solidFill>
              <w14:schemeClr w14:val="tx1"/>
            </w14:solidFill>
          </w14:textFill>
        </w:rPr>
        <w:t>。”（〔宋</w:t>
      </w:r>
      <w:r>
        <w:rPr>
          <w:rFonts w:ascii="仿宋" w:hAnsi="仿宋" w:eastAsia="仿宋"/>
          <w:color w:val="000000" w:themeColor="text1"/>
          <w14:textFill>
            <w14:solidFill>
              <w14:schemeClr w14:val="tx1"/>
            </w14:solidFill>
          </w14:textFill>
        </w:rPr>
        <w:t>〕</w:t>
      </w:r>
      <w:r>
        <w:rPr>
          <w:rFonts w:hint="eastAsia" w:ascii="仿宋" w:hAnsi="仿宋" w:eastAsia="仿宋"/>
          <w:color w:val="000000" w:themeColor="text1"/>
          <w14:textFill>
            <w14:solidFill>
              <w14:schemeClr w14:val="tx1"/>
            </w14:solidFill>
          </w14:textFill>
        </w:rPr>
        <w:t>司马光：《</w:t>
      </w:r>
      <w:r>
        <w:rPr>
          <w:rFonts w:ascii="仿宋" w:hAnsi="仿宋" w:eastAsia="仿宋"/>
          <w:color w:val="000000" w:themeColor="text1"/>
          <w14:textFill>
            <w14:solidFill>
              <w14:schemeClr w14:val="tx1"/>
            </w14:solidFill>
          </w14:textFill>
        </w:rPr>
        <w:t>资治通鉴》卷二〇一</w:t>
      </w:r>
      <w:r>
        <w:rPr>
          <w:rFonts w:hint="eastAsia" w:ascii="仿宋" w:hAnsi="仿宋" w:eastAsia="仿宋"/>
          <w:color w:val="000000" w:themeColor="text1"/>
          <w14:textFill>
            <w14:solidFill>
              <w14:schemeClr w14:val="tx1"/>
            </w14:solidFill>
          </w14:textFill>
        </w:rPr>
        <w:t>，</w:t>
      </w:r>
      <w:r>
        <w:rPr>
          <w:rFonts w:ascii="仿宋" w:hAnsi="仿宋" w:eastAsia="仿宋"/>
          <w:color w:val="000000" w:themeColor="text1"/>
          <w14:textFill>
            <w14:solidFill>
              <w14:schemeClr w14:val="tx1"/>
            </w14:solidFill>
          </w14:textFill>
        </w:rPr>
        <w:t>中华书局1956年</w:t>
      </w:r>
      <w:r>
        <w:rPr>
          <w:rFonts w:hint="eastAsia" w:ascii="仿宋" w:hAnsi="仿宋" w:eastAsia="仿宋"/>
          <w:color w:val="000000" w:themeColor="text1"/>
          <w14:textFill>
            <w14:solidFill>
              <w14:schemeClr w14:val="tx1"/>
            </w14:solidFill>
          </w14:textFill>
        </w:rPr>
        <w:t>版，</w:t>
      </w:r>
      <w:r>
        <w:rPr>
          <w:rFonts w:ascii="仿宋" w:hAnsi="仿宋" w:eastAsia="仿宋"/>
          <w:color w:val="000000" w:themeColor="text1"/>
          <w14:textFill>
            <w14:solidFill>
              <w14:schemeClr w14:val="tx1"/>
            </w14:solidFill>
          </w14:textFill>
        </w:rPr>
        <w:t>第6365</w:t>
      </w:r>
      <w:r>
        <w:rPr>
          <w:rFonts w:hint="eastAsia" w:ascii="仿宋" w:hAnsi="仿宋" w:eastAsia="仿宋"/>
          <w:color w:val="000000" w:themeColor="text1"/>
          <w14:textFill>
            <w14:solidFill>
              <w14:schemeClr w14:val="tx1"/>
            </w14:solidFill>
          </w14:textFill>
        </w:rPr>
        <w:t>页）且《金石萃编》据《天后御制诗书碑》称杨氏薨于咸亨元年九月十四日。（</w:t>
      </w:r>
      <w:r>
        <w:rPr>
          <w:rFonts w:ascii="仿宋" w:hAnsi="仿宋" w:eastAsia="仿宋"/>
          <w:color w:val="000000" w:themeColor="text1"/>
          <w14:textFill>
            <w14:solidFill>
              <w14:schemeClr w14:val="tx1"/>
            </w14:solidFill>
          </w14:textFill>
        </w:rPr>
        <w:t>〔</w:t>
      </w:r>
      <w:r>
        <w:rPr>
          <w:rFonts w:hint="eastAsia" w:ascii="仿宋" w:hAnsi="仿宋" w:eastAsia="仿宋"/>
          <w:color w:val="000000" w:themeColor="text1"/>
          <w14:textFill>
            <w14:solidFill>
              <w14:schemeClr w14:val="tx1"/>
            </w14:solidFill>
          </w14:textFill>
        </w:rPr>
        <w:t>清</w:t>
      </w:r>
      <w:r>
        <w:rPr>
          <w:rFonts w:ascii="仿宋" w:hAnsi="仿宋" w:eastAsia="仿宋"/>
          <w:color w:val="000000" w:themeColor="text1"/>
          <w14:textFill>
            <w14:solidFill>
              <w14:schemeClr w14:val="tx1"/>
            </w14:solidFill>
          </w14:textFill>
        </w:rPr>
        <w:t>〕王昶</w:t>
      </w:r>
      <w:r>
        <w:rPr>
          <w:rFonts w:hint="eastAsia" w:ascii="仿宋" w:hAnsi="仿宋" w:eastAsia="仿宋"/>
          <w:color w:val="000000" w:themeColor="text1"/>
          <w14:textFill>
            <w14:solidFill>
              <w14:schemeClr w14:val="tx1"/>
            </w14:solidFill>
          </w14:textFill>
        </w:rPr>
        <w:t>：《金石萃编》卷六〇，国家图书馆善本金石组编：《隋唐五代石刻文献全编》第三册，北京图书馆出版社2</w:t>
      </w:r>
      <w:r>
        <w:rPr>
          <w:rFonts w:ascii="仿宋" w:hAnsi="仿宋" w:eastAsia="仿宋"/>
          <w:color w:val="000000" w:themeColor="text1"/>
          <w14:textFill>
            <w14:solidFill>
              <w14:schemeClr w14:val="tx1"/>
            </w14:solidFill>
          </w14:textFill>
        </w:rPr>
        <w:t>003</w:t>
      </w:r>
      <w:r>
        <w:rPr>
          <w:rFonts w:hint="eastAsia" w:ascii="仿宋" w:hAnsi="仿宋" w:eastAsia="仿宋"/>
          <w:color w:val="000000" w:themeColor="text1"/>
          <w14:textFill>
            <w14:solidFill>
              <w14:schemeClr w14:val="tx1"/>
            </w14:solidFill>
          </w14:textFill>
        </w:rPr>
        <w:t>年版，第</w:t>
      </w:r>
      <w:r>
        <w:rPr>
          <w:rFonts w:ascii="仿宋" w:hAnsi="仿宋" w:eastAsia="仿宋"/>
          <w:color w:val="000000" w:themeColor="text1"/>
          <w14:textFill>
            <w14:solidFill>
              <w14:schemeClr w14:val="tx1"/>
            </w14:solidFill>
          </w14:textFill>
        </w:rPr>
        <w:t>40</w:t>
      </w:r>
      <w:r>
        <w:rPr>
          <w:rFonts w:hint="eastAsia" w:ascii="仿宋" w:hAnsi="仿宋" w:eastAsia="仿宋"/>
          <w:color w:val="000000" w:themeColor="text1"/>
          <w14:textFill>
            <w14:solidFill>
              <w14:schemeClr w14:val="tx1"/>
            </w14:solidFill>
          </w14:textFill>
        </w:rPr>
        <w:t>页）当以咸亨元年为是。</w:t>
      </w:r>
    </w:p>
  </w:footnote>
  <w:footnote w:id="45">
    <w:p>
      <w:pPr>
        <w:pStyle w:val="5"/>
        <w:spacing w:line="276" w:lineRule="auto"/>
        <w:ind w:left="420" w:leftChars="200"/>
        <w:rPr>
          <w:rFonts w:ascii="仿宋" w:hAnsi="仿宋" w:eastAsia="仿宋"/>
          <w:color w:val="000000" w:themeColor="text1"/>
          <w14:textFill>
            <w14:solidFill>
              <w14:schemeClr w14:val="tx1"/>
            </w14:solidFill>
          </w14:textFill>
        </w:rPr>
      </w:pPr>
      <w:r>
        <w:rPr>
          <w:rFonts w:ascii="仿宋" w:hAnsi="仿宋" w:eastAsia="仿宋"/>
          <w:color w:val="000000" w:themeColor="text1"/>
          <w14:textFill>
            <w14:solidFill>
              <w14:schemeClr w14:val="tx1"/>
            </w14:solidFill>
          </w14:textFill>
        </w:rPr>
        <w:footnoteRef/>
      </w:r>
      <w:r>
        <w:rPr>
          <w:rFonts w:ascii="仿宋" w:hAnsi="仿宋" w:eastAsia="仿宋"/>
          <w:color w:val="000000" w:themeColor="text1"/>
          <w14:textFill>
            <w14:solidFill>
              <w14:schemeClr w14:val="tx1"/>
            </w14:solidFill>
          </w14:textFill>
        </w:rPr>
        <w:t xml:space="preserve"> </w:t>
      </w:r>
      <w:r>
        <w:rPr>
          <w:rFonts w:hint="eastAsia" w:ascii="仿宋" w:hAnsi="仿宋" w:eastAsia="仿宋"/>
          <w:color w:val="000000" w:themeColor="text1"/>
          <w14:textFill>
            <w14:solidFill>
              <w14:schemeClr w14:val="tx1"/>
            </w14:solidFill>
          </w14:textFill>
        </w:rPr>
        <w:t>《全唐文补编》卷一三，第1</w:t>
      </w:r>
      <w:r>
        <w:rPr>
          <w:rFonts w:ascii="仿宋" w:hAnsi="仿宋" w:eastAsia="仿宋"/>
          <w:color w:val="000000" w:themeColor="text1"/>
          <w14:textFill>
            <w14:solidFill>
              <w14:schemeClr w14:val="tx1"/>
            </w14:solidFill>
          </w14:textFill>
        </w:rPr>
        <w:t>57</w:t>
      </w:r>
      <w:r>
        <w:rPr>
          <w:rFonts w:hint="eastAsia" w:ascii="仿宋" w:hAnsi="仿宋" w:eastAsia="仿宋"/>
          <w:color w:val="000000" w:themeColor="text1"/>
          <w14:textFill>
            <w14:solidFill>
              <w14:schemeClr w14:val="tx1"/>
            </w14:solidFill>
          </w14:textFill>
        </w:rPr>
        <w:t>页。</w:t>
      </w:r>
    </w:p>
  </w:footnote>
  <w:footnote w:id="46">
    <w:p>
      <w:pPr>
        <w:pStyle w:val="5"/>
        <w:spacing w:line="276" w:lineRule="auto"/>
        <w:ind w:left="420" w:leftChars="200"/>
        <w:rPr>
          <w:rFonts w:ascii="仿宋" w:hAnsi="仿宋" w:eastAsia="仿宋"/>
          <w:color w:val="000000" w:themeColor="text1"/>
          <w14:textFill>
            <w14:solidFill>
              <w14:schemeClr w14:val="tx1"/>
            </w14:solidFill>
          </w14:textFill>
        </w:rPr>
      </w:pPr>
      <w:r>
        <w:rPr>
          <w:rFonts w:ascii="仿宋" w:hAnsi="仿宋" w:eastAsia="仿宋"/>
          <w:color w:val="000000" w:themeColor="text1"/>
          <w14:textFill>
            <w14:solidFill>
              <w14:schemeClr w14:val="tx1"/>
            </w14:solidFill>
          </w14:textFill>
        </w:rPr>
        <w:footnoteRef/>
      </w:r>
      <w:r>
        <w:rPr>
          <w:rFonts w:ascii="仿宋" w:hAnsi="仿宋" w:eastAsia="仿宋"/>
          <w:color w:val="000000" w:themeColor="text1"/>
          <w14:textFill>
            <w14:solidFill>
              <w14:schemeClr w14:val="tx1"/>
            </w14:solidFill>
          </w14:textFill>
        </w:rPr>
        <w:t xml:space="preserve"> </w:t>
      </w:r>
      <w:r>
        <w:rPr>
          <w:rFonts w:hint="eastAsia" w:ascii="仿宋" w:hAnsi="仿宋" w:eastAsia="仿宋"/>
          <w:color w:val="000000" w:themeColor="text1"/>
          <w14:textFill>
            <w14:solidFill>
              <w14:schemeClr w14:val="tx1"/>
            </w14:solidFill>
          </w14:textFill>
        </w:rPr>
        <w:t>《昭陵碑石》，第</w:t>
      </w:r>
      <w:r>
        <w:rPr>
          <w:rFonts w:ascii="仿宋" w:hAnsi="仿宋" w:eastAsia="仿宋"/>
          <w:color w:val="000000" w:themeColor="text1"/>
          <w14:textFill>
            <w14:solidFill>
              <w14:schemeClr w14:val="tx1"/>
            </w14:solidFill>
          </w14:textFill>
        </w:rPr>
        <w:t>182</w:t>
      </w:r>
      <w:r>
        <w:rPr>
          <w:rFonts w:hint="eastAsia" w:ascii="仿宋" w:hAnsi="仿宋" w:eastAsia="仿宋"/>
          <w:color w:val="000000" w:themeColor="text1"/>
          <w14:textFill>
            <w14:solidFill>
              <w14:schemeClr w14:val="tx1"/>
            </w14:solidFill>
          </w14:textFill>
        </w:rPr>
        <w:t>页。</w:t>
      </w:r>
    </w:p>
  </w:footnote>
  <w:footnote w:id="47">
    <w:p>
      <w:pPr>
        <w:pStyle w:val="5"/>
        <w:spacing w:line="276" w:lineRule="auto"/>
        <w:ind w:left="420" w:leftChars="200"/>
        <w:rPr>
          <w:rFonts w:ascii="仿宋" w:hAnsi="仿宋" w:eastAsia="仿宋"/>
          <w:color w:val="000000" w:themeColor="text1"/>
          <w14:textFill>
            <w14:solidFill>
              <w14:schemeClr w14:val="tx1"/>
            </w14:solidFill>
          </w14:textFill>
        </w:rPr>
      </w:pPr>
      <w:r>
        <w:rPr>
          <w:rFonts w:ascii="仿宋" w:hAnsi="仿宋" w:eastAsia="仿宋"/>
          <w:color w:val="000000" w:themeColor="text1"/>
          <w14:textFill>
            <w14:solidFill>
              <w14:schemeClr w14:val="tx1"/>
            </w14:solidFill>
          </w14:textFill>
        </w:rPr>
        <w:footnoteRef/>
      </w:r>
      <w:r>
        <w:rPr>
          <w:rFonts w:ascii="仿宋" w:hAnsi="仿宋" w:eastAsia="仿宋"/>
          <w:color w:val="000000" w:themeColor="text1"/>
          <w14:textFill>
            <w14:solidFill>
              <w14:schemeClr w14:val="tx1"/>
            </w14:solidFill>
          </w14:textFill>
        </w:rPr>
        <w:t xml:space="preserve"> </w:t>
      </w:r>
      <w:r>
        <w:rPr>
          <w:rFonts w:hint="eastAsia" w:ascii="仿宋" w:hAnsi="仿宋" w:eastAsia="仿宋"/>
          <w:color w:val="000000" w:themeColor="text1"/>
          <w14:textFill>
            <w14:solidFill>
              <w14:schemeClr w14:val="tx1"/>
            </w14:solidFill>
          </w14:textFill>
        </w:rPr>
        <w:t>《全唐文补编》卷一三，第1</w:t>
      </w:r>
      <w:r>
        <w:rPr>
          <w:rFonts w:ascii="仿宋" w:hAnsi="仿宋" w:eastAsia="仿宋"/>
          <w:color w:val="000000" w:themeColor="text1"/>
          <w14:textFill>
            <w14:solidFill>
              <w14:schemeClr w14:val="tx1"/>
            </w14:solidFill>
          </w14:textFill>
        </w:rPr>
        <w:t>57</w:t>
      </w:r>
      <w:r>
        <w:rPr>
          <w:rFonts w:hint="eastAsia" w:ascii="仿宋" w:hAnsi="仿宋" w:eastAsia="仿宋"/>
          <w:color w:val="000000" w:themeColor="text1"/>
          <w14:textFill>
            <w14:solidFill>
              <w14:schemeClr w14:val="tx1"/>
            </w14:solidFill>
          </w14:textFill>
        </w:rPr>
        <w:t>页。</w:t>
      </w:r>
    </w:p>
  </w:footnote>
  <w:footnote w:id="48">
    <w:p>
      <w:pPr>
        <w:pStyle w:val="5"/>
        <w:spacing w:line="276" w:lineRule="auto"/>
        <w:ind w:left="420" w:leftChars="200"/>
        <w:rPr>
          <w:rFonts w:ascii="仿宋" w:hAnsi="仿宋" w:eastAsia="仿宋"/>
          <w:color w:val="000000" w:themeColor="text1"/>
          <w14:textFill>
            <w14:solidFill>
              <w14:schemeClr w14:val="tx1"/>
            </w14:solidFill>
          </w14:textFill>
        </w:rPr>
      </w:pPr>
      <w:r>
        <w:rPr>
          <w:rFonts w:ascii="仿宋" w:hAnsi="仿宋" w:eastAsia="仿宋"/>
          <w:color w:val="000000" w:themeColor="text1"/>
          <w14:textFill>
            <w14:solidFill>
              <w14:schemeClr w14:val="tx1"/>
            </w14:solidFill>
          </w14:textFill>
        </w:rPr>
        <w:footnoteRef/>
      </w:r>
      <w:r>
        <w:rPr>
          <w:rFonts w:ascii="仿宋" w:hAnsi="仿宋" w:eastAsia="仿宋"/>
          <w:color w:val="000000" w:themeColor="text1"/>
          <w14:textFill>
            <w14:solidFill>
              <w14:schemeClr w14:val="tx1"/>
            </w14:solidFill>
          </w14:textFill>
        </w:rPr>
        <w:t xml:space="preserve"> </w:t>
      </w:r>
      <w:r>
        <w:rPr>
          <w:rFonts w:hint="eastAsia" w:ascii="仿宋" w:hAnsi="仿宋" w:eastAsia="仿宋"/>
          <w:color w:val="000000" w:themeColor="text1"/>
          <w14:textFill>
            <w14:solidFill>
              <w14:schemeClr w14:val="tx1"/>
            </w14:solidFill>
          </w14:textFill>
        </w:rPr>
        <w:t>《全唐文补编》卷一三，第1</w:t>
      </w:r>
      <w:r>
        <w:rPr>
          <w:rFonts w:ascii="仿宋" w:hAnsi="仿宋" w:eastAsia="仿宋"/>
          <w:color w:val="000000" w:themeColor="text1"/>
          <w14:textFill>
            <w14:solidFill>
              <w14:schemeClr w14:val="tx1"/>
            </w14:solidFill>
          </w14:textFill>
        </w:rPr>
        <w:t>57-158</w:t>
      </w:r>
      <w:r>
        <w:rPr>
          <w:rFonts w:hint="eastAsia" w:ascii="仿宋" w:hAnsi="仿宋" w:eastAsia="仿宋"/>
          <w:color w:val="000000" w:themeColor="text1"/>
          <w14:textFill>
            <w14:solidFill>
              <w14:schemeClr w14:val="tx1"/>
            </w14:solidFill>
          </w14:textFill>
        </w:rPr>
        <w:t>页。</w:t>
      </w:r>
    </w:p>
  </w:footnote>
  <w:footnote w:id="49">
    <w:p>
      <w:pPr>
        <w:pStyle w:val="5"/>
        <w:spacing w:line="276" w:lineRule="auto"/>
        <w:ind w:left="420" w:leftChars="200"/>
        <w:rPr>
          <w:rFonts w:ascii="仿宋" w:hAnsi="仿宋" w:eastAsia="仿宋"/>
          <w:color w:val="000000" w:themeColor="text1"/>
          <w14:textFill>
            <w14:solidFill>
              <w14:schemeClr w14:val="tx1"/>
            </w14:solidFill>
          </w14:textFill>
        </w:rPr>
      </w:pPr>
      <w:r>
        <w:rPr>
          <w:rFonts w:ascii="仿宋" w:hAnsi="仿宋" w:eastAsia="仿宋"/>
          <w:color w:val="000000" w:themeColor="text1"/>
          <w14:textFill>
            <w14:solidFill>
              <w14:schemeClr w14:val="tx1"/>
            </w14:solidFill>
          </w14:textFill>
        </w:rPr>
        <w:footnoteRef/>
      </w:r>
      <w:r>
        <w:rPr>
          <w:rFonts w:ascii="仿宋" w:hAnsi="仿宋" w:eastAsia="仿宋"/>
          <w:color w:val="000000" w:themeColor="text1"/>
          <w:sz w:val="24"/>
          <w14:textFill>
            <w14:solidFill>
              <w14:schemeClr w14:val="tx1"/>
            </w14:solidFill>
          </w14:textFill>
        </w:rPr>
        <w:t xml:space="preserve"> </w:t>
      </w:r>
      <w:r>
        <w:rPr>
          <w:rFonts w:hint="eastAsia" w:ascii="仿宋" w:hAnsi="仿宋" w:eastAsia="仿宋"/>
          <w:color w:val="000000" w:themeColor="text1"/>
          <w14:textFill>
            <w14:solidFill>
              <w14:schemeClr w14:val="tx1"/>
            </w14:solidFill>
          </w14:textFill>
        </w:rPr>
        <w:t>《全唐文补编》卷一三，第1</w:t>
      </w:r>
      <w:r>
        <w:rPr>
          <w:rFonts w:ascii="仿宋" w:hAnsi="仿宋" w:eastAsia="仿宋"/>
          <w:color w:val="000000" w:themeColor="text1"/>
          <w14:textFill>
            <w14:solidFill>
              <w14:schemeClr w14:val="tx1"/>
            </w14:solidFill>
          </w14:textFill>
        </w:rPr>
        <w:t>57</w:t>
      </w:r>
      <w:r>
        <w:rPr>
          <w:rFonts w:hint="eastAsia" w:ascii="仿宋" w:hAnsi="仿宋" w:eastAsia="仿宋"/>
          <w:color w:val="000000" w:themeColor="text1"/>
          <w14:textFill>
            <w14:solidFill>
              <w14:schemeClr w14:val="tx1"/>
            </w14:solidFill>
          </w14:textFill>
        </w:rPr>
        <w:t>页。</w:t>
      </w:r>
    </w:p>
  </w:footnote>
  <w:footnote w:id="50">
    <w:p>
      <w:pPr>
        <w:pStyle w:val="5"/>
        <w:spacing w:line="276" w:lineRule="auto"/>
        <w:ind w:left="420" w:leftChars="200"/>
        <w:rPr>
          <w:rFonts w:ascii="仿宋" w:hAnsi="仿宋" w:eastAsia="仿宋"/>
          <w:color w:val="000000" w:themeColor="text1"/>
          <w14:textFill>
            <w14:solidFill>
              <w14:schemeClr w14:val="tx1"/>
            </w14:solidFill>
          </w14:textFill>
        </w:rPr>
      </w:pPr>
      <w:r>
        <w:rPr>
          <w:rFonts w:ascii="仿宋" w:hAnsi="仿宋" w:eastAsia="仿宋"/>
          <w:color w:val="000000" w:themeColor="text1"/>
          <w14:textFill>
            <w14:solidFill>
              <w14:schemeClr w14:val="tx1"/>
            </w14:solidFill>
          </w14:textFill>
        </w:rPr>
        <w:footnoteRef/>
      </w:r>
      <w:r>
        <w:rPr>
          <w:rFonts w:ascii="仿宋" w:hAnsi="仿宋" w:eastAsia="仿宋"/>
          <w:color w:val="000000" w:themeColor="text1"/>
          <w14:textFill>
            <w14:solidFill>
              <w14:schemeClr w14:val="tx1"/>
            </w14:solidFill>
          </w14:textFill>
        </w:rPr>
        <w:t xml:space="preserve"> </w:t>
      </w:r>
      <w:r>
        <w:rPr>
          <w:rFonts w:hint="eastAsia" w:ascii="仿宋" w:hAnsi="仿宋" w:eastAsia="仿宋"/>
          <w:color w:val="000000" w:themeColor="text1"/>
          <w14:textFill>
            <w14:solidFill>
              <w14:schemeClr w14:val="tx1"/>
            </w14:solidFill>
          </w14:textFill>
        </w:rPr>
        <w:t>张乃翥：《龙门石窟大卢舍那像龛考察报告》，《敦煌研究》1</w:t>
      </w:r>
      <w:r>
        <w:rPr>
          <w:rFonts w:ascii="仿宋" w:hAnsi="仿宋" w:eastAsia="仿宋"/>
          <w:color w:val="000000" w:themeColor="text1"/>
          <w14:textFill>
            <w14:solidFill>
              <w14:schemeClr w14:val="tx1"/>
            </w14:solidFill>
          </w14:textFill>
        </w:rPr>
        <w:t>999</w:t>
      </w:r>
      <w:r>
        <w:rPr>
          <w:rFonts w:hint="eastAsia" w:ascii="仿宋" w:hAnsi="仿宋" w:eastAsia="仿宋"/>
          <w:color w:val="000000" w:themeColor="text1"/>
          <w14:textFill>
            <w14:solidFill>
              <w14:schemeClr w14:val="tx1"/>
            </w14:solidFill>
          </w14:textFill>
        </w:rPr>
        <w:t>年第2期，第1</w:t>
      </w:r>
      <w:r>
        <w:rPr>
          <w:rFonts w:ascii="仿宋" w:hAnsi="仿宋" w:eastAsia="仿宋"/>
          <w:color w:val="000000" w:themeColor="text1"/>
          <w14:textFill>
            <w14:solidFill>
              <w14:schemeClr w14:val="tx1"/>
            </w14:solidFill>
          </w14:textFill>
        </w:rPr>
        <w:t>23</w:t>
      </w:r>
      <w:r>
        <w:rPr>
          <w:rFonts w:hint="eastAsia" w:ascii="仿宋" w:hAnsi="仿宋" w:eastAsia="仿宋"/>
          <w:color w:val="000000" w:themeColor="text1"/>
          <w14:textFill>
            <w14:solidFill>
              <w14:schemeClr w14:val="tx1"/>
            </w14:solidFill>
          </w14:textFill>
        </w:rPr>
        <w:t>页。</w:t>
      </w:r>
    </w:p>
  </w:footnote>
  <w:footnote w:id="51">
    <w:p>
      <w:pPr>
        <w:pStyle w:val="5"/>
        <w:spacing w:line="276" w:lineRule="auto"/>
        <w:ind w:left="420" w:leftChars="200"/>
        <w:rPr>
          <w:rFonts w:ascii="仿宋" w:hAnsi="仿宋" w:eastAsia="仿宋"/>
          <w:color w:val="000000" w:themeColor="text1"/>
          <w14:textFill>
            <w14:solidFill>
              <w14:schemeClr w14:val="tx1"/>
            </w14:solidFill>
          </w14:textFill>
        </w:rPr>
      </w:pPr>
      <w:r>
        <w:rPr>
          <w:rFonts w:ascii="仿宋" w:hAnsi="仿宋" w:eastAsia="仿宋"/>
          <w:color w:val="000000" w:themeColor="text1"/>
          <w14:textFill>
            <w14:solidFill>
              <w14:schemeClr w14:val="tx1"/>
            </w14:solidFill>
          </w14:textFill>
        </w:rPr>
        <w:footnoteRef/>
      </w:r>
      <w:r>
        <w:rPr>
          <w:rFonts w:ascii="仿宋" w:hAnsi="仿宋" w:eastAsia="仿宋"/>
          <w:color w:val="000000" w:themeColor="text1"/>
          <w14:textFill>
            <w14:solidFill>
              <w14:schemeClr w14:val="tx1"/>
            </w14:solidFill>
          </w14:textFill>
        </w:rPr>
        <w:t xml:space="preserve"> </w:t>
      </w:r>
      <w:r>
        <w:rPr>
          <w:rFonts w:hint="eastAsia" w:ascii="仿宋" w:hAnsi="仿宋" w:eastAsia="仿宋"/>
          <w:color w:val="000000" w:themeColor="text1"/>
          <w14:textFill>
            <w14:solidFill>
              <w14:schemeClr w14:val="tx1"/>
            </w14:solidFill>
          </w14:textFill>
        </w:rPr>
        <w:t>张乃翥：《从龙门造像史迹看武则天与唐代佛教之关系》，《世界宗教研究》1</w:t>
      </w:r>
      <w:r>
        <w:rPr>
          <w:rFonts w:ascii="仿宋" w:hAnsi="仿宋" w:eastAsia="仿宋"/>
          <w:color w:val="000000" w:themeColor="text1"/>
          <w14:textFill>
            <w14:solidFill>
              <w14:schemeClr w14:val="tx1"/>
            </w14:solidFill>
          </w14:textFill>
        </w:rPr>
        <w:t>989</w:t>
      </w:r>
      <w:r>
        <w:rPr>
          <w:rFonts w:hint="eastAsia" w:ascii="仿宋" w:hAnsi="仿宋" w:eastAsia="仿宋"/>
          <w:color w:val="000000" w:themeColor="text1"/>
          <w14:textFill>
            <w14:solidFill>
              <w14:schemeClr w14:val="tx1"/>
            </w14:solidFill>
          </w14:textFill>
        </w:rPr>
        <w:t>年第1期，第4</w:t>
      </w:r>
      <w:r>
        <w:rPr>
          <w:rFonts w:ascii="仿宋" w:hAnsi="仿宋" w:eastAsia="仿宋"/>
          <w:color w:val="000000" w:themeColor="text1"/>
          <w14:textFill>
            <w14:solidFill>
              <w14:schemeClr w14:val="tx1"/>
            </w14:solidFill>
          </w14:textFill>
        </w:rPr>
        <w:t>6</w:t>
      </w:r>
      <w:r>
        <w:rPr>
          <w:rFonts w:hint="eastAsia" w:ascii="仿宋" w:hAnsi="仿宋" w:eastAsia="仿宋"/>
          <w:color w:val="000000" w:themeColor="text1"/>
          <w14:textFill>
            <w14:solidFill>
              <w14:schemeClr w14:val="tx1"/>
            </w14:solidFill>
          </w14:textFill>
        </w:rPr>
        <w:t>页。</w:t>
      </w:r>
    </w:p>
  </w:footnote>
  <w:footnote w:id="52">
    <w:p>
      <w:pPr>
        <w:pStyle w:val="5"/>
        <w:spacing w:line="276" w:lineRule="auto"/>
        <w:ind w:left="420" w:leftChars="200"/>
        <w:rPr>
          <w:rFonts w:ascii="仿宋" w:hAnsi="仿宋" w:eastAsia="仿宋"/>
          <w:color w:val="000000" w:themeColor="text1"/>
          <w14:textFill>
            <w14:solidFill>
              <w14:schemeClr w14:val="tx1"/>
            </w14:solidFill>
          </w14:textFill>
        </w:rPr>
      </w:pPr>
      <w:r>
        <w:rPr>
          <w:rFonts w:ascii="仿宋" w:hAnsi="仿宋" w:eastAsia="仿宋"/>
          <w:color w:val="000000" w:themeColor="text1"/>
          <w14:textFill>
            <w14:solidFill>
              <w14:schemeClr w14:val="tx1"/>
            </w14:solidFill>
          </w14:textFill>
        </w:rPr>
        <w:footnoteRef/>
      </w:r>
      <w:r>
        <w:rPr>
          <w:rFonts w:hint="eastAsia" w:ascii="仿宋" w:hAnsi="仿宋" w:eastAsia="仿宋"/>
          <w:color w:val="000000" w:themeColor="text1"/>
          <w14:textFill>
            <w14:solidFill>
              <w14:schemeClr w14:val="tx1"/>
            </w14:solidFill>
          </w14:textFill>
        </w:rPr>
        <w:t xml:space="preserve"> 《昭陵碑石》，第1</w:t>
      </w:r>
      <w:r>
        <w:rPr>
          <w:rFonts w:ascii="仿宋" w:hAnsi="仿宋" w:eastAsia="仿宋"/>
          <w:color w:val="000000" w:themeColor="text1"/>
          <w14:textFill>
            <w14:solidFill>
              <w14:schemeClr w14:val="tx1"/>
            </w14:solidFill>
          </w14:textFill>
        </w:rPr>
        <w:t>85</w:t>
      </w:r>
      <w:r>
        <w:rPr>
          <w:rFonts w:hint="eastAsia" w:ascii="仿宋" w:hAnsi="仿宋" w:eastAsia="仿宋"/>
          <w:color w:val="000000" w:themeColor="text1"/>
          <w14:textFill>
            <w14:solidFill>
              <w14:schemeClr w14:val="tx1"/>
            </w14:solidFill>
          </w14:textFill>
        </w:rPr>
        <w:t>页。</w:t>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40"/>
  <w:doNotDisplayPageBoundaries w:val="1"/>
  <w:bordersDoNotSurroundHeader w:val="1"/>
  <w:bordersDoNotSurroundFooter w:val="1"/>
  <w:trackRevisions w:val="1"/>
  <w:documentProtection w:enforcement="0"/>
  <w:defaultTabStop w:val="420"/>
  <w:drawingGridHorizontalSpacing w:val="105"/>
  <w:drawingGridVerticalSpacing w:val="156"/>
  <w:displayHorizontalDrawingGridEvery w:val="0"/>
  <w:displayVerticalDrawingGridEvery w:val="2"/>
  <w:characterSpacingControl w:val="compressPunctuation"/>
  <w:footnotePr>
    <w:numFmt w:val="decimalEnclosedCircleChinese"/>
    <w:numRestart w:val="eachPage"/>
    <w:footnote w:id="106"/>
    <w:footnote w:id="107"/>
  </w:foot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NDAyNjRlZWZkNGYwMWE4YjNkN2RlM2I2NmUzMWJlOWMifQ=="/>
  </w:docVars>
  <w:rsids>
    <w:rsidRoot w:val="00707A92"/>
    <w:rsid w:val="000078E0"/>
    <w:rsid w:val="00020CB4"/>
    <w:rsid w:val="00026F99"/>
    <w:rsid w:val="00033E53"/>
    <w:rsid w:val="00047276"/>
    <w:rsid w:val="000508B3"/>
    <w:rsid w:val="00054626"/>
    <w:rsid w:val="000561BD"/>
    <w:rsid w:val="000571C6"/>
    <w:rsid w:val="00062A81"/>
    <w:rsid w:val="00063B11"/>
    <w:rsid w:val="00063DA9"/>
    <w:rsid w:val="0006569C"/>
    <w:rsid w:val="000665E2"/>
    <w:rsid w:val="00074889"/>
    <w:rsid w:val="00086D39"/>
    <w:rsid w:val="00093F5A"/>
    <w:rsid w:val="00097366"/>
    <w:rsid w:val="000A00B2"/>
    <w:rsid w:val="000A35F2"/>
    <w:rsid w:val="000B674E"/>
    <w:rsid w:val="000B76C5"/>
    <w:rsid w:val="000C2EB0"/>
    <w:rsid w:val="000C68E6"/>
    <w:rsid w:val="000E35D1"/>
    <w:rsid w:val="000E41C5"/>
    <w:rsid w:val="000E665F"/>
    <w:rsid w:val="000F35D8"/>
    <w:rsid w:val="000F364E"/>
    <w:rsid w:val="000F4BA1"/>
    <w:rsid w:val="000F7901"/>
    <w:rsid w:val="001165F9"/>
    <w:rsid w:val="001174B8"/>
    <w:rsid w:val="001201D2"/>
    <w:rsid w:val="00122361"/>
    <w:rsid w:val="001300EC"/>
    <w:rsid w:val="00131FBF"/>
    <w:rsid w:val="00133936"/>
    <w:rsid w:val="001349DA"/>
    <w:rsid w:val="00135CF1"/>
    <w:rsid w:val="00142B99"/>
    <w:rsid w:val="001534E8"/>
    <w:rsid w:val="001536BA"/>
    <w:rsid w:val="00155BDA"/>
    <w:rsid w:val="00167232"/>
    <w:rsid w:val="0016729A"/>
    <w:rsid w:val="00167DA5"/>
    <w:rsid w:val="0017162B"/>
    <w:rsid w:val="001764CF"/>
    <w:rsid w:val="001835C3"/>
    <w:rsid w:val="0018501A"/>
    <w:rsid w:val="00185CAF"/>
    <w:rsid w:val="001B3B03"/>
    <w:rsid w:val="001B46B7"/>
    <w:rsid w:val="001B4BEA"/>
    <w:rsid w:val="001C0A0E"/>
    <w:rsid w:val="001C1123"/>
    <w:rsid w:val="001C19A4"/>
    <w:rsid w:val="001F0730"/>
    <w:rsid w:val="001F2719"/>
    <w:rsid w:val="002141F8"/>
    <w:rsid w:val="00217DE1"/>
    <w:rsid w:val="00221F91"/>
    <w:rsid w:val="002270F9"/>
    <w:rsid w:val="00232F39"/>
    <w:rsid w:val="002334C8"/>
    <w:rsid w:val="00242667"/>
    <w:rsid w:val="00245AC7"/>
    <w:rsid w:val="00250BE7"/>
    <w:rsid w:val="00256646"/>
    <w:rsid w:val="002706A2"/>
    <w:rsid w:val="002731D0"/>
    <w:rsid w:val="00280F6D"/>
    <w:rsid w:val="00282818"/>
    <w:rsid w:val="00292AEB"/>
    <w:rsid w:val="002B62AB"/>
    <w:rsid w:val="002B6E05"/>
    <w:rsid w:val="002C7BAF"/>
    <w:rsid w:val="002D59E6"/>
    <w:rsid w:val="002E7809"/>
    <w:rsid w:val="002F11D9"/>
    <w:rsid w:val="002F4467"/>
    <w:rsid w:val="0030262B"/>
    <w:rsid w:val="003068EA"/>
    <w:rsid w:val="00306CC1"/>
    <w:rsid w:val="00314367"/>
    <w:rsid w:val="003166E9"/>
    <w:rsid w:val="00322275"/>
    <w:rsid w:val="00324AE1"/>
    <w:rsid w:val="003339AA"/>
    <w:rsid w:val="003455AD"/>
    <w:rsid w:val="00354FC3"/>
    <w:rsid w:val="003604B5"/>
    <w:rsid w:val="00361DA8"/>
    <w:rsid w:val="003647BF"/>
    <w:rsid w:val="00365BC8"/>
    <w:rsid w:val="00376E81"/>
    <w:rsid w:val="003813E2"/>
    <w:rsid w:val="00381806"/>
    <w:rsid w:val="00381BE8"/>
    <w:rsid w:val="003824FC"/>
    <w:rsid w:val="0039656C"/>
    <w:rsid w:val="003A3387"/>
    <w:rsid w:val="003A64A4"/>
    <w:rsid w:val="003B0100"/>
    <w:rsid w:val="003B213E"/>
    <w:rsid w:val="003B2474"/>
    <w:rsid w:val="003C1BF3"/>
    <w:rsid w:val="003C23DF"/>
    <w:rsid w:val="003C4140"/>
    <w:rsid w:val="003C65A5"/>
    <w:rsid w:val="003D3C0C"/>
    <w:rsid w:val="003D45BF"/>
    <w:rsid w:val="003D6AB7"/>
    <w:rsid w:val="003D75E0"/>
    <w:rsid w:val="003D764C"/>
    <w:rsid w:val="003F5AA4"/>
    <w:rsid w:val="004000FB"/>
    <w:rsid w:val="00402DD1"/>
    <w:rsid w:val="004031F4"/>
    <w:rsid w:val="00407C85"/>
    <w:rsid w:val="00417B05"/>
    <w:rsid w:val="0042061C"/>
    <w:rsid w:val="00434157"/>
    <w:rsid w:val="00437756"/>
    <w:rsid w:val="00440455"/>
    <w:rsid w:val="00442904"/>
    <w:rsid w:val="00456D5D"/>
    <w:rsid w:val="00457AA5"/>
    <w:rsid w:val="00460239"/>
    <w:rsid w:val="004628C6"/>
    <w:rsid w:val="00470C39"/>
    <w:rsid w:val="00472FB3"/>
    <w:rsid w:val="004741F5"/>
    <w:rsid w:val="00480435"/>
    <w:rsid w:val="004A0D90"/>
    <w:rsid w:val="004A152F"/>
    <w:rsid w:val="004A47E5"/>
    <w:rsid w:val="004B262B"/>
    <w:rsid w:val="004B75AA"/>
    <w:rsid w:val="004C1865"/>
    <w:rsid w:val="004C2735"/>
    <w:rsid w:val="004C7195"/>
    <w:rsid w:val="004E3755"/>
    <w:rsid w:val="004F1AFD"/>
    <w:rsid w:val="004F35B6"/>
    <w:rsid w:val="005030D1"/>
    <w:rsid w:val="005041A8"/>
    <w:rsid w:val="00505DD5"/>
    <w:rsid w:val="0051183F"/>
    <w:rsid w:val="0052210C"/>
    <w:rsid w:val="005373FF"/>
    <w:rsid w:val="00541949"/>
    <w:rsid w:val="00546C10"/>
    <w:rsid w:val="00550811"/>
    <w:rsid w:val="0055390D"/>
    <w:rsid w:val="00553D3C"/>
    <w:rsid w:val="005568D6"/>
    <w:rsid w:val="00557C68"/>
    <w:rsid w:val="00560359"/>
    <w:rsid w:val="00560EC2"/>
    <w:rsid w:val="005610AC"/>
    <w:rsid w:val="00570F48"/>
    <w:rsid w:val="00572C9C"/>
    <w:rsid w:val="00581D87"/>
    <w:rsid w:val="00584485"/>
    <w:rsid w:val="00584CA5"/>
    <w:rsid w:val="0059019B"/>
    <w:rsid w:val="00593460"/>
    <w:rsid w:val="00593858"/>
    <w:rsid w:val="005A619E"/>
    <w:rsid w:val="005B2B64"/>
    <w:rsid w:val="005B4658"/>
    <w:rsid w:val="005B620F"/>
    <w:rsid w:val="005B69C3"/>
    <w:rsid w:val="005E3DD7"/>
    <w:rsid w:val="005F10D9"/>
    <w:rsid w:val="006111B4"/>
    <w:rsid w:val="00611EC3"/>
    <w:rsid w:val="00612EC8"/>
    <w:rsid w:val="00613F7C"/>
    <w:rsid w:val="00614202"/>
    <w:rsid w:val="00624E6E"/>
    <w:rsid w:val="006478B6"/>
    <w:rsid w:val="00655940"/>
    <w:rsid w:val="00666BDF"/>
    <w:rsid w:val="00670744"/>
    <w:rsid w:val="006808B2"/>
    <w:rsid w:val="00681BE8"/>
    <w:rsid w:val="00686208"/>
    <w:rsid w:val="00691647"/>
    <w:rsid w:val="00692096"/>
    <w:rsid w:val="00692698"/>
    <w:rsid w:val="006926C6"/>
    <w:rsid w:val="006963EF"/>
    <w:rsid w:val="00697452"/>
    <w:rsid w:val="00697C6A"/>
    <w:rsid w:val="006A6EC7"/>
    <w:rsid w:val="006B7607"/>
    <w:rsid w:val="006C0FB0"/>
    <w:rsid w:val="006D14B6"/>
    <w:rsid w:val="006D4535"/>
    <w:rsid w:val="006F6B5D"/>
    <w:rsid w:val="006F76E8"/>
    <w:rsid w:val="007074F1"/>
    <w:rsid w:val="00707A92"/>
    <w:rsid w:val="00707ACD"/>
    <w:rsid w:val="00716F8A"/>
    <w:rsid w:val="00717A28"/>
    <w:rsid w:val="00722BC6"/>
    <w:rsid w:val="00735A48"/>
    <w:rsid w:val="00740712"/>
    <w:rsid w:val="007506F4"/>
    <w:rsid w:val="00760ABE"/>
    <w:rsid w:val="007626F6"/>
    <w:rsid w:val="00763B46"/>
    <w:rsid w:val="0077357E"/>
    <w:rsid w:val="0077598E"/>
    <w:rsid w:val="00780988"/>
    <w:rsid w:val="00781DAB"/>
    <w:rsid w:val="00783359"/>
    <w:rsid w:val="007852B0"/>
    <w:rsid w:val="00792CFC"/>
    <w:rsid w:val="00794449"/>
    <w:rsid w:val="007A0754"/>
    <w:rsid w:val="007A0A3A"/>
    <w:rsid w:val="007C63C1"/>
    <w:rsid w:val="007D419E"/>
    <w:rsid w:val="007D7BDD"/>
    <w:rsid w:val="007E1463"/>
    <w:rsid w:val="007E3FD1"/>
    <w:rsid w:val="007E43EF"/>
    <w:rsid w:val="007F1D2B"/>
    <w:rsid w:val="007F2DD0"/>
    <w:rsid w:val="007F5154"/>
    <w:rsid w:val="0080029B"/>
    <w:rsid w:val="00802120"/>
    <w:rsid w:val="008024DD"/>
    <w:rsid w:val="00812FC4"/>
    <w:rsid w:val="00813036"/>
    <w:rsid w:val="0082030C"/>
    <w:rsid w:val="008220F0"/>
    <w:rsid w:val="00823AD6"/>
    <w:rsid w:val="00831ADF"/>
    <w:rsid w:val="00835F5A"/>
    <w:rsid w:val="00836133"/>
    <w:rsid w:val="00842C72"/>
    <w:rsid w:val="00844347"/>
    <w:rsid w:val="00844DDE"/>
    <w:rsid w:val="0084657E"/>
    <w:rsid w:val="00861346"/>
    <w:rsid w:val="00863D86"/>
    <w:rsid w:val="008670B5"/>
    <w:rsid w:val="00871AC9"/>
    <w:rsid w:val="00880385"/>
    <w:rsid w:val="00881D6A"/>
    <w:rsid w:val="00886FAA"/>
    <w:rsid w:val="00894275"/>
    <w:rsid w:val="008949EA"/>
    <w:rsid w:val="00896336"/>
    <w:rsid w:val="008A21FA"/>
    <w:rsid w:val="008C212C"/>
    <w:rsid w:val="008C2943"/>
    <w:rsid w:val="008C3291"/>
    <w:rsid w:val="008C54F8"/>
    <w:rsid w:val="008D11D0"/>
    <w:rsid w:val="008E1451"/>
    <w:rsid w:val="008E5A51"/>
    <w:rsid w:val="008E7B62"/>
    <w:rsid w:val="008F37F2"/>
    <w:rsid w:val="008F6F4F"/>
    <w:rsid w:val="008F7B08"/>
    <w:rsid w:val="008F7D5A"/>
    <w:rsid w:val="00900C07"/>
    <w:rsid w:val="00902C72"/>
    <w:rsid w:val="00905D6A"/>
    <w:rsid w:val="009217DA"/>
    <w:rsid w:val="00922632"/>
    <w:rsid w:val="009227AE"/>
    <w:rsid w:val="00922C60"/>
    <w:rsid w:val="009243E6"/>
    <w:rsid w:val="00926A7F"/>
    <w:rsid w:val="009337DB"/>
    <w:rsid w:val="00935BE6"/>
    <w:rsid w:val="00937671"/>
    <w:rsid w:val="009422A1"/>
    <w:rsid w:val="00942412"/>
    <w:rsid w:val="00951606"/>
    <w:rsid w:val="00955ECB"/>
    <w:rsid w:val="009561DE"/>
    <w:rsid w:val="00962847"/>
    <w:rsid w:val="009659AA"/>
    <w:rsid w:val="00967BB8"/>
    <w:rsid w:val="00980D56"/>
    <w:rsid w:val="00985A9B"/>
    <w:rsid w:val="00996306"/>
    <w:rsid w:val="00996AEC"/>
    <w:rsid w:val="00996E81"/>
    <w:rsid w:val="009A6615"/>
    <w:rsid w:val="009B18C4"/>
    <w:rsid w:val="009B4039"/>
    <w:rsid w:val="009B5948"/>
    <w:rsid w:val="009B636F"/>
    <w:rsid w:val="009C08FA"/>
    <w:rsid w:val="009C77B1"/>
    <w:rsid w:val="009D4D85"/>
    <w:rsid w:val="009D7989"/>
    <w:rsid w:val="009E3F1A"/>
    <w:rsid w:val="009F275F"/>
    <w:rsid w:val="00A010FC"/>
    <w:rsid w:val="00A06CBA"/>
    <w:rsid w:val="00A1128B"/>
    <w:rsid w:val="00A132EA"/>
    <w:rsid w:val="00A223E6"/>
    <w:rsid w:val="00A22B6F"/>
    <w:rsid w:val="00A2506F"/>
    <w:rsid w:val="00A26667"/>
    <w:rsid w:val="00A31032"/>
    <w:rsid w:val="00A43405"/>
    <w:rsid w:val="00A460CA"/>
    <w:rsid w:val="00A5140B"/>
    <w:rsid w:val="00A63979"/>
    <w:rsid w:val="00A63BD7"/>
    <w:rsid w:val="00A65CBC"/>
    <w:rsid w:val="00A67DAD"/>
    <w:rsid w:val="00A74080"/>
    <w:rsid w:val="00A74C31"/>
    <w:rsid w:val="00A808D9"/>
    <w:rsid w:val="00A841A5"/>
    <w:rsid w:val="00A850C0"/>
    <w:rsid w:val="00A8678D"/>
    <w:rsid w:val="00A91D84"/>
    <w:rsid w:val="00A97F9C"/>
    <w:rsid w:val="00AA33E0"/>
    <w:rsid w:val="00AA3581"/>
    <w:rsid w:val="00AA7B65"/>
    <w:rsid w:val="00AB7235"/>
    <w:rsid w:val="00AC4394"/>
    <w:rsid w:val="00AC4C94"/>
    <w:rsid w:val="00AC5338"/>
    <w:rsid w:val="00AC55D6"/>
    <w:rsid w:val="00AC587D"/>
    <w:rsid w:val="00AC58CB"/>
    <w:rsid w:val="00AC6C7D"/>
    <w:rsid w:val="00AC75DA"/>
    <w:rsid w:val="00AD2306"/>
    <w:rsid w:val="00AD411A"/>
    <w:rsid w:val="00AD47BA"/>
    <w:rsid w:val="00AE092A"/>
    <w:rsid w:val="00AE465E"/>
    <w:rsid w:val="00AE621C"/>
    <w:rsid w:val="00AE6322"/>
    <w:rsid w:val="00AE661D"/>
    <w:rsid w:val="00AF1AC7"/>
    <w:rsid w:val="00B03440"/>
    <w:rsid w:val="00B05B68"/>
    <w:rsid w:val="00B16DA0"/>
    <w:rsid w:val="00B17A61"/>
    <w:rsid w:val="00B27617"/>
    <w:rsid w:val="00B30826"/>
    <w:rsid w:val="00B415E4"/>
    <w:rsid w:val="00B54A1E"/>
    <w:rsid w:val="00B64C2B"/>
    <w:rsid w:val="00B716C2"/>
    <w:rsid w:val="00B733AE"/>
    <w:rsid w:val="00B74EB4"/>
    <w:rsid w:val="00B871AE"/>
    <w:rsid w:val="00B87307"/>
    <w:rsid w:val="00BA366B"/>
    <w:rsid w:val="00BB6379"/>
    <w:rsid w:val="00BC469C"/>
    <w:rsid w:val="00BD21A2"/>
    <w:rsid w:val="00BD778C"/>
    <w:rsid w:val="00BE06E3"/>
    <w:rsid w:val="00BE4156"/>
    <w:rsid w:val="00BE5F7C"/>
    <w:rsid w:val="00BE7071"/>
    <w:rsid w:val="00BF087F"/>
    <w:rsid w:val="00BF1929"/>
    <w:rsid w:val="00BF2057"/>
    <w:rsid w:val="00BF309C"/>
    <w:rsid w:val="00BF3CFD"/>
    <w:rsid w:val="00BF6E7A"/>
    <w:rsid w:val="00BF7CF8"/>
    <w:rsid w:val="00C02931"/>
    <w:rsid w:val="00C073DA"/>
    <w:rsid w:val="00C07809"/>
    <w:rsid w:val="00C1293E"/>
    <w:rsid w:val="00C137C8"/>
    <w:rsid w:val="00C13E42"/>
    <w:rsid w:val="00C246CB"/>
    <w:rsid w:val="00C24897"/>
    <w:rsid w:val="00C25A0E"/>
    <w:rsid w:val="00C3037C"/>
    <w:rsid w:val="00C422BD"/>
    <w:rsid w:val="00C513CD"/>
    <w:rsid w:val="00C55251"/>
    <w:rsid w:val="00C55443"/>
    <w:rsid w:val="00C57008"/>
    <w:rsid w:val="00C5747B"/>
    <w:rsid w:val="00C65671"/>
    <w:rsid w:val="00C707DD"/>
    <w:rsid w:val="00C93815"/>
    <w:rsid w:val="00CA16D4"/>
    <w:rsid w:val="00CA73C2"/>
    <w:rsid w:val="00CA7C61"/>
    <w:rsid w:val="00CC0AE4"/>
    <w:rsid w:val="00CC1644"/>
    <w:rsid w:val="00CC546F"/>
    <w:rsid w:val="00CD173F"/>
    <w:rsid w:val="00CD5818"/>
    <w:rsid w:val="00CF26A0"/>
    <w:rsid w:val="00CF35D1"/>
    <w:rsid w:val="00D07964"/>
    <w:rsid w:val="00D1539D"/>
    <w:rsid w:val="00D17297"/>
    <w:rsid w:val="00D35C60"/>
    <w:rsid w:val="00D3615D"/>
    <w:rsid w:val="00D36B4C"/>
    <w:rsid w:val="00D42019"/>
    <w:rsid w:val="00D4470E"/>
    <w:rsid w:val="00D53C4F"/>
    <w:rsid w:val="00D601F6"/>
    <w:rsid w:val="00D626AE"/>
    <w:rsid w:val="00D62A8F"/>
    <w:rsid w:val="00D63991"/>
    <w:rsid w:val="00D75565"/>
    <w:rsid w:val="00D75C41"/>
    <w:rsid w:val="00D84D52"/>
    <w:rsid w:val="00D84D97"/>
    <w:rsid w:val="00D865EA"/>
    <w:rsid w:val="00DA470A"/>
    <w:rsid w:val="00DB16B0"/>
    <w:rsid w:val="00DB600B"/>
    <w:rsid w:val="00DB7AEC"/>
    <w:rsid w:val="00DC42CF"/>
    <w:rsid w:val="00DC61D3"/>
    <w:rsid w:val="00DE07A4"/>
    <w:rsid w:val="00DE2E94"/>
    <w:rsid w:val="00DE4931"/>
    <w:rsid w:val="00DE5B3C"/>
    <w:rsid w:val="00DF52F0"/>
    <w:rsid w:val="00DF6727"/>
    <w:rsid w:val="00DF79A2"/>
    <w:rsid w:val="00E028A9"/>
    <w:rsid w:val="00E02C9D"/>
    <w:rsid w:val="00E02E86"/>
    <w:rsid w:val="00E134E5"/>
    <w:rsid w:val="00E167CE"/>
    <w:rsid w:val="00E227AE"/>
    <w:rsid w:val="00E263B2"/>
    <w:rsid w:val="00E3221F"/>
    <w:rsid w:val="00E33061"/>
    <w:rsid w:val="00E3413F"/>
    <w:rsid w:val="00E342DE"/>
    <w:rsid w:val="00E3565E"/>
    <w:rsid w:val="00E44CB0"/>
    <w:rsid w:val="00E51F23"/>
    <w:rsid w:val="00E52270"/>
    <w:rsid w:val="00E52C7A"/>
    <w:rsid w:val="00E565F1"/>
    <w:rsid w:val="00E645A2"/>
    <w:rsid w:val="00E80CD6"/>
    <w:rsid w:val="00E91ABF"/>
    <w:rsid w:val="00E91C76"/>
    <w:rsid w:val="00E9242C"/>
    <w:rsid w:val="00E9251D"/>
    <w:rsid w:val="00E92765"/>
    <w:rsid w:val="00E9512A"/>
    <w:rsid w:val="00EA115C"/>
    <w:rsid w:val="00EA45A0"/>
    <w:rsid w:val="00EB1F37"/>
    <w:rsid w:val="00EB7894"/>
    <w:rsid w:val="00EC15D0"/>
    <w:rsid w:val="00EC6FED"/>
    <w:rsid w:val="00ED2B87"/>
    <w:rsid w:val="00ED366E"/>
    <w:rsid w:val="00ED669E"/>
    <w:rsid w:val="00EE28B1"/>
    <w:rsid w:val="00EE68D8"/>
    <w:rsid w:val="00EF1D39"/>
    <w:rsid w:val="00F0306E"/>
    <w:rsid w:val="00F10EC2"/>
    <w:rsid w:val="00F1326F"/>
    <w:rsid w:val="00F247A0"/>
    <w:rsid w:val="00F25B8B"/>
    <w:rsid w:val="00F32059"/>
    <w:rsid w:val="00F32691"/>
    <w:rsid w:val="00F434FE"/>
    <w:rsid w:val="00F5205E"/>
    <w:rsid w:val="00F55F13"/>
    <w:rsid w:val="00F64B18"/>
    <w:rsid w:val="00F65107"/>
    <w:rsid w:val="00F6544C"/>
    <w:rsid w:val="00F80C6E"/>
    <w:rsid w:val="00F925F5"/>
    <w:rsid w:val="00F94343"/>
    <w:rsid w:val="00FA6323"/>
    <w:rsid w:val="00FA7BF7"/>
    <w:rsid w:val="00FB6613"/>
    <w:rsid w:val="00FC537E"/>
    <w:rsid w:val="00FD4A57"/>
    <w:rsid w:val="00FD5AF8"/>
    <w:rsid w:val="00FE1955"/>
    <w:rsid w:val="00FF17AF"/>
    <w:rsid w:val="35C66C8E"/>
    <w:rsid w:val="434A2D25"/>
    <w:rsid w:val="706600A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qFormat="1" w:uiPriority="99" w:semiHidden="0" w:name="footnote text"/>
    <w:lsdException w:qFormat="1" w:uiPriority="99" w:name="annotation text"/>
    <w:lsdException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qFormat="1" w:uiPriority="99" w:semiHidden="0" w:name="footnote reference"/>
    <w:lsdException w:uiPriority="99" w:name="annotation reference"/>
    <w:lsdException w:uiPriority="99" w:name="line number"/>
    <w:lsdException w:qFormat="1"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7">
    <w:name w:val="Default Paragraph Font"/>
    <w:semiHidden/>
    <w:unhideWhenUsed/>
    <w:uiPriority w:val="1"/>
  </w:style>
  <w:style w:type="table" w:default="1" w:styleId="6">
    <w:name w:val="Normal Table"/>
    <w:semiHidden/>
    <w:unhideWhenUsed/>
    <w:uiPriority w:val="99"/>
    <w:tblPr>
      <w:tblCellMar>
        <w:top w:w="0" w:type="dxa"/>
        <w:left w:w="108" w:type="dxa"/>
        <w:bottom w:w="0" w:type="dxa"/>
        <w:right w:w="108" w:type="dxa"/>
      </w:tblCellMar>
    </w:tblPr>
  </w:style>
  <w:style w:type="paragraph" w:styleId="2">
    <w:name w:val="annotation text"/>
    <w:basedOn w:val="1"/>
    <w:semiHidden/>
    <w:unhideWhenUsed/>
    <w:qFormat/>
    <w:uiPriority w:val="99"/>
    <w:pPr>
      <w:jc w:val="left"/>
    </w:pPr>
  </w:style>
  <w:style w:type="paragraph" w:styleId="3">
    <w:name w:val="footer"/>
    <w:basedOn w:val="1"/>
    <w:link w:val="14"/>
    <w:unhideWhenUsed/>
    <w:qFormat/>
    <w:uiPriority w:val="99"/>
    <w:pPr>
      <w:tabs>
        <w:tab w:val="center" w:pos="4153"/>
        <w:tab w:val="right" w:pos="8306"/>
      </w:tabs>
      <w:snapToGrid w:val="0"/>
      <w:jc w:val="left"/>
    </w:pPr>
    <w:rPr>
      <w:sz w:val="18"/>
      <w:szCs w:val="18"/>
    </w:rPr>
  </w:style>
  <w:style w:type="paragraph" w:styleId="4">
    <w:name w:val="header"/>
    <w:basedOn w:val="1"/>
    <w:link w:val="13"/>
    <w:unhideWhenUsed/>
    <w:uiPriority w:val="99"/>
    <w:pPr>
      <w:pBdr>
        <w:bottom w:val="single" w:color="auto" w:sz="6" w:space="1"/>
      </w:pBdr>
      <w:tabs>
        <w:tab w:val="center" w:pos="4153"/>
        <w:tab w:val="right" w:pos="8306"/>
      </w:tabs>
      <w:snapToGrid w:val="0"/>
      <w:jc w:val="center"/>
    </w:pPr>
    <w:rPr>
      <w:sz w:val="18"/>
      <w:szCs w:val="18"/>
    </w:rPr>
  </w:style>
  <w:style w:type="paragraph" w:styleId="5">
    <w:name w:val="footnote text"/>
    <w:basedOn w:val="1"/>
    <w:link w:val="12"/>
    <w:unhideWhenUsed/>
    <w:qFormat/>
    <w:uiPriority w:val="99"/>
    <w:pPr>
      <w:snapToGrid w:val="0"/>
      <w:jc w:val="left"/>
    </w:pPr>
    <w:rPr>
      <w:sz w:val="18"/>
      <w:szCs w:val="18"/>
    </w:rPr>
  </w:style>
  <w:style w:type="character" w:styleId="8">
    <w:name w:val="page number"/>
    <w:basedOn w:val="7"/>
    <w:semiHidden/>
    <w:unhideWhenUsed/>
    <w:qFormat/>
    <w:uiPriority w:val="99"/>
  </w:style>
  <w:style w:type="character" w:styleId="9">
    <w:name w:val="annotation reference"/>
    <w:basedOn w:val="7"/>
    <w:semiHidden/>
    <w:unhideWhenUsed/>
    <w:uiPriority w:val="99"/>
    <w:rPr>
      <w:sz w:val="21"/>
      <w:szCs w:val="21"/>
    </w:rPr>
  </w:style>
  <w:style w:type="character" w:styleId="10">
    <w:name w:val="footnote reference"/>
    <w:basedOn w:val="7"/>
    <w:unhideWhenUsed/>
    <w:qFormat/>
    <w:uiPriority w:val="99"/>
    <w:rPr>
      <w:vertAlign w:val="superscript"/>
    </w:rPr>
  </w:style>
  <w:style w:type="paragraph" w:styleId="11">
    <w:name w:val="List Paragraph"/>
    <w:basedOn w:val="1"/>
    <w:qFormat/>
    <w:uiPriority w:val="34"/>
    <w:pPr>
      <w:ind w:firstLine="420" w:firstLineChars="200"/>
    </w:pPr>
  </w:style>
  <w:style w:type="character" w:customStyle="1" w:styleId="12">
    <w:name w:val="脚注文本 字符"/>
    <w:basedOn w:val="7"/>
    <w:link w:val="5"/>
    <w:qFormat/>
    <w:uiPriority w:val="99"/>
    <w:rPr>
      <w:sz w:val="18"/>
      <w:szCs w:val="18"/>
    </w:rPr>
  </w:style>
  <w:style w:type="character" w:customStyle="1" w:styleId="13">
    <w:name w:val="页眉 字符"/>
    <w:basedOn w:val="7"/>
    <w:link w:val="4"/>
    <w:uiPriority w:val="99"/>
    <w:rPr>
      <w:sz w:val="18"/>
      <w:szCs w:val="18"/>
    </w:rPr>
  </w:style>
  <w:style w:type="character" w:customStyle="1" w:styleId="14">
    <w:name w:val="页脚 字符"/>
    <w:basedOn w:val="7"/>
    <w:link w:val="3"/>
    <w:qFormat/>
    <w:uiPriority w:val="99"/>
    <w:rPr>
      <w:sz w:val="18"/>
      <w:szCs w:val="18"/>
    </w:rPr>
  </w:style>
  <w:style w:type="paragraph" w:customStyle="1" w:styleId="15">
    <w:name w:val="Revision"/>
    <w:hidden/>
    <w:semiHidden/>
    <w:uiPriority w:val="99"/>
    <w:rPr>
      <w:rFonts w:asciiTheme="minorHAnsi" w:hAnsiTheme="minorHAnsi" w:eastAsiaTheme="minorEastAsia" w:cstheme="minorBidi"/>
      <w:kern w:val="2"/>
      <w:sz w:val="21"/>
      <w:szCs w:val="24"/>
      <w:lang w:val="en-US" w:eastAsia="zh-CN" w:bidi="ar-SA"/>
    </w:r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2013 - 2022">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19B100A-9A38-4249-A3B7-3D857E5464A9}">
  <ds:schemaRefs/>
</ds:datastoreItem>
</file>

<file path=docProps/app.xml><?xml version="1.0" encoding="utf-8"?>
<Properties xmlns="http://schemas.openxmlformats.org/officeDocument/2006/extended-properties" xmlns:vt="http://schemas.openxmlformats.org/officeDocument/2006/docPropsVTypes">
  <Template>Normal.dotm</Template>
  <Pages>12</Pages>
  <Words>10924</Words>
  <Characters>10930</Characters>
  <Lines>78</Lines>
  <Paragraphs>22</Paragraphs>
  <TotalTime>41</TotalTime>
  <ScaleCrop>false</ScaleCrop>
  <LinksUpToDate>false</LinksUpToDate>
  <CharactersWithSpaces>10942</CharactersWithSpaces>
  <Application>WPS Office_11.1.0.13703_F1E327BC-269C-435d-A152-05C5408002CA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2023-02-21T05:49:00Z</dcterms:created>
  <dc:creator>Xu Huan</dc:creator>
  <cp:lastModifiedBy>仪陇娃儿</cp:lastModifiedBy>
  <cp:lastPrinted>2023-02-20T01:48:00Z</cp:lastPrinted>
  <dcterms:modified xsi:type="dcterms:W3CDTF">2023-02-22T06:57:25Z</dcterms:modified>
  <cp:revision>29</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2052-11.1.0.13703</vt:lpwstr>
  </property>
  <property fmtid="{D5CDD505-2E9C-101B-9397-08002B2CF9AE}" pid="3" name="ICV">
    <vt:lpwstr>A1954EAE12974926B27BD4456F005E19</vt:lpwstr>
  </property>
</Properties>
</file>